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spacing w:line="560" w:lineRule="exact"/>
        <w:rPr>
          <w:b/>
          <w:sz w:val="44"/>
          <w:szCs w:val="44"/>
          <w:u w:val="single"/>
        </w:rPr>
      </w:pPr>
    </w:p>
    <w:p>
      <w:pPr>
        <w:spacing w:line="560" w:lineRule="exact"/>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keepNext w:val="0"/>
        <w:keepLines w:val="0"/>
        <w:widowControl/>
        <w:suppressLineNumbers w:val="0"/>
        <w:jc w:val="center"/>
        <w:rPr>
          <w:rFonts w:hint="default" w:ascii="宋体" w:hAnsi="宋体" w:cs="宋体"/>
          <w:b/>
          <w:bCs/>
          <w:color w:val="000000"/>
          <w:kern w:val="0"/>
          <w:sz w:val="44"/>
          <w:szCs w:val="44"/>
          <w:lang w:val="en-US" w:eastAsia="zh-CN" w:bidi="ar"/>
        </w:rPr>
      </w:pPr>
      <w:r>
        <w:rPr>
          <w:rFonts w:hint="eastAsia" w:ascii="宋体" w:hAnsi="宋体" w:cs="宋体"/>
          <w:b/>
          <w:bCs/>
          <w:color w:val="000000"/>
          <w:kern w:val="0"/>
          <w:sz w:val="44"/>
          <w:szCs w:val="44"/>
          <w:lang w:val="en-US" w:eastAsia="zh-CN" w:bidi="ar"/>
        </w:rPr>
        <w:t>葫芦岛市连山区人民检察院</w:t>
      </w:r>
    </w:p>
    <w:p>
      <w:pPr>
        <w:spacing w:line="560" w:lineRule="exact"/>
        <w:jc w:val="center"/>
        <w:rPr>
          <w:bCs/>
          <w:sz w:val="44"/>
          <w:szCs w:val="44"/>
        </w:rPr>
      </w:pPr>
      <w:r>
        <w:rPr>
          <w:rFonts w:hint="eastAsia" w:ascii="宋体" w:hAnsi="宋体" w:cs="宋体"/>
          <w:b/>
          <w:bCs/>
          <w:color w:val="000000"/>
          <w:kern w:val="0"/>
          <w:sz w:val="44"/>
          <w:szCs w:val="44"/>
          <w:lang w:val="en-US" w:eastAsia="zh-CN" w:bidi="ar"/>
        </w:rPr>
        <w:t>2026年</w:t>
      </w:r>
      <w:r>
        <w:rPr>
          <w:rFonts w:hint="eastAsia" w:ascii="宋体" w:hAnsi="宋体" w:eastAsia="宋体" w:cs="宋体"/>
          <w:b/>
          <w:bCs/>
          <w:color w:val="000000"/>
          <w:kern w:val="0"/>
          <w:sz w:val="44"/>
          <w:szCs w:val="44"/>
          <w:lang w:val="en-US" w:eastAsia="zh-CN" w:bidi="ar"/>
        </w:rPr>
        <w:t>度部门预算</w:t>
      </w:r>
    </w:p>
    <w:p>
      <w:pPr>
        <w:spacing w:line="560" w:lineRule="exact"/>
        <w:jc w:val="center"/>
        <w:rPr>
          <w:bCs/>
          <w:sz w:val="32"/>
          <w:szCs w:val="32"/>
          <w:u w:val="single"/>
        </w:rPr>
      </w:pPr>
    </w:p>
    <w:p>
      <w:pPr>
        <w:spacing w:line="560" w:lineRule="exact"/>
        <w:jc w:val="center"/>
        <w:rPr>
          <w:b/>
          <w:sz w:val="44"/>
          <w:szCs w:val="44"/>
          <w:u w:val="single"/>
        </w:rPr>
      </w:pPr>
    </w:p>
    <w:p>
      <w:pPr>
        <w:spacing w:line="560" w:lineRule="exact"/>
        <w:jc w:val="center"/>
        <w:rPr>
          <w:b/>
          <w:sz w:val="44"/>
          <w:szCs w:val="44"/>
          <w:u w:val="single"/>
        </w:rPr>
      </w:pPr>
    </w:p>
    <w:p>
      <w:pPr>
        <w:pStyle w:val="2"/>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jc w:val="center"/>
        <w:rPr>
          <w:b/>
          <w:sz w:val="44"/>
          <w:szCs w:val="44"/>
          <w:u w:val="single"/>
        </w:rPr>
      </w:pPr>
    </w:p>
    <w:p>
      <w:pPr>
        <w:spacing w:line="560" w:lineRule="exact"/>
        <w:rPr>
          <w:b/>
          <w:sz w:val="44"/>
          <w:szCs w:val="44"/>
        </w:rPr>
      </w:pPr>
    </w:p>
    <w:p>
      <w:pPr>
        <w:pStyle w:val="2"/>
      </w:pPr>
    </w:p>
    <w:p>
      <w:pPr>
        <w:spacing w:line="560" w:lineRule="exact"/>
        <w:jc w:val="center"/>
        <w:rPr>
          <w:b/>
          <w:sz w:val="44"/>
          <w:szCs w:val="44"/>
        </w:rPr>
      </w:pPr>
      <w:r>
        <w:rPr>
          <w:rFonts w:hint="eastAsia"/>
          <w:b/>
          <w:sz w:val="44"/>
          <w:szCs w:val="44"/>
        </w:rPr>
        <w:t>目    录</w:t>
      </w:r>
    </w:p>
    <w:p>
      <w:pPr>
        <w:spacing w:line="560" w:lineRule="exact"/>
        <w:rPr>
          <w:b/>
          <w:sz w:val="44"/>
          <w:szCs w:val="44"/>
          <w:u w:val="single"/>
        </w:rPr>
      </w:pPr>
    </w:p>
    <w:p>
      <w:pPr>
        <w:spacing w:line="560" w:lineRule="exact"/>
        <w:rPr>
          <w:b/>
          <w:sz w:val="44"/>
          <w:szCs w:val="44"/>
          <w:u w:val="single"/>
        </w:rPr>
      </w:pPr>
    </w:p>
    <w:p>
      <w:pPr>
        <w:spacing w:line="560" w:lineRule="exact"/>
        <w:rPr>
          <w:rFonts w:ascii="黑体" w:hAnsi="黑体" w:eastAsia="黑体"/>
          <w:sz w:val="32"/>
          <w:szCs w:val="32"/>
        </w:rPr>
      </w:pPr>
      <w:r>
        <w:rPr>
          <w:rFonts w:hint="eastAsia" w:ascii="黑体" w:hAnsi="黑体" w:eastAsia="黑体"/>
          <w:sz w:val="32"/>
          <w:szCs w:val="32"/>
        </w:rPr>
        <w:t>第一部分　　部门预算公开管理文件</w:t>
      </w:r>
    </w:p>
    <w:p>
      <w:pPr>
        <w:spacing w:line="560" w:lineRule="exact"/>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葫芦岛市连山区人民检察院</w:t>
      </w:r>
      <w:r>
        <w:rPr>
          <w:rFonts w:hint="eastAsia" w:ascii="黑体" w:hAnsi="黑体" w:eastAsia="黑体"/>
          <w:sz w:val="32"/>
          <w:szCs w:val="32"/>
        </w:rPr>
        <w:t>概况</w:t>
      </w:r>
    </w:p>
    <w:p>
      <w:pPr>
        <w:spacing w:line="560" w:lineRule="exact"/>
        <w:ind w:firstLine="646" w:firstLineChars="200"/>
        <w:rPr>
          <w:rFonts w:ascii="仿宋_GB2312" w:hAnsi="黑体" w:eastAsia="仿宋_GB2312"/>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部门</w:t>
      </w:r>
      <w:r>
        <w:rPr>
          <w:rFonts w:hint="eastAsia" w:ascii="仿宋_GB2312" w:hAnsi="黑体" w:eastAsia="仿宋_GB2312"/>
          <w:sz w:val="32"/>
          <w:szCs w:val="32"/>
        </w:rPr>
        <w:t>职责</w:t>
      </w:r>
    </w:p>
    <w:p>
      <w:pPr>
        <w:spacing w:line="560" w:lineRule="exact"/>
        <w:ind w:firstLine="646" w:firstLineChars="200"/>
        <w:rPr>
          <w:rFonts w:ascii="仿宋_GB2312" w:hAnsi="黑体" w:eastAsia="仿宋_GB2312"/>
          <w:sz w:val="32"/>
          <w:szCs w:val="32"/>
        </w:rPr>
      </w:pPr>
      <w:r>
        <w:rPr>
          <w:rFonts w:hint="eastAsia" w:ascii="仿宋_GB2312" w:hAnsi="黑体" w:eastAsia="仿宋_GB2312"/>
          <w:sz w:val="32"/>
          <w:szCs w:val="32"/>
        </w:rPr>
        <w:t>二、机构设置</w:t>
      </w:r>
    </w:p>
    <w:p>
      <w:pPr>
        <w:spacing w:line="560" w:lineRule="exact"/>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葫芦岛市连山区人民检察院</w:t>
      </w:r>
      <w:r>
        <w:rPr>
          <w:rFonts w:hint="eastAsia" w:ascii="黑体" w:hAnsi="黑体" w:eastAsia="黑体"/>
          <w:sz w:val="32"/>
          <w:szCs w:val="32"/>
          <w:lang w:val="en-US" w:eastAsia="zh-CN"/>
        </w:rPr>
        <w:t>2026年</w:t>
      </w:r>
      <w:r>
        <w:rPr>
          <w:rFonts w:hint="eastAsia" w:ascii="黑体" w:hAnsi="黑体" w:eastAsia="黑体"/>
          <w:sz w:val="32"/>
          <w:szCs w:val="32"/>
        </w:rPr>
        <w:t>部门预算情况说明</w:t>
      </w:r>
    </w:p>
    <w:p>
      <w:pPr>
        <w:spacing w:line="560" w:lineRule="exact"/>
        <w:rPr>
          <w:rFonts w:ascii="黑体" w:hAnsi="黑体" w:eastAsia="黑体"/>
          <w:sz w:val="32"/>
          <w:szCs w:val="32"/>
        </w:rPr>
      </w:pPr>
      <w:r>
        <w:rPr>
          <w:rFonts w:hint="eastAsia" w:ascii="黑体" w:hAnsi="黑体" w:eastAsia="黑体"/>
          <w:sz w:val="32"/>
          <w:szCs w:val="32"/>
        </w:rPr>
        <w:t>第四部分    名词解释</w:t>
      </w:r>
    </w:p>
    <w:p>
      <w:pPr>
        <w:spacing w:line="560" w:lineRule="exact"/>
        <w:rPr>
          <w:rFonts w:ascii="黑体" w:hAnsi="黑体" w:eastAsia="黑体"/>
          <w:sz w:val="32"/>
          <w:szCs w:val="32"/>
        </w:rPr>
      </w:pPr>
      <w:r>
        <w:rPr>
          <w:rFonts w:hint="eastAsia" w:ascii="黑体" w:hAnsi="黑体" w:eastAsia="黑体"/>
          <w:sz w:val="32"/>
          <w:szCs w:val="32"/>
        </w:rPr>
        <w:t xml:space="preserve">第五部分    </w:t>
      </w:r>
      <w:r>
        <w:rPr>
          <w:rFonts w:hint="eastAsia" w:ascii="黑体" w:hAnsi="黑体" w:eastAsia="黑体"/>
          <w:sz w:val="32"/>
          <w:szCs w:val="32"/>
          <w:lang w:val="en-US" w:eastAsia="zh-CN"/>
        </w:rPr>
        <w:t>2026年</w:t>
      </w:r>
      <w:r>
        <w:rPr>
          <w:rFonts w:hint="eastAsia" w:ascii="黑体" w:hAnsi="黑体" w:eastAsia="黑体"/>
          <w:sz w:val="32"/>
          <w:szCs w:val="32"/>
          <w:lang w:eastAsia="zh-CN"/>
        </w:rPr>
        <w:t>葫芦岛市连山区人民检察院</w:t>
      </w:r>
      <w:r>
        <w:rPr>
          <w:rFonts w:hint="eastAsia" w:ascii="黑体" w:hAnsi="黑体" w:eastAsia="黑体"/>
          <w:sz w:val="32"/>
          <w:szCs w:val="32"/>
        </w:rPr>
        <w:t>部门预算批复表</w:t>
      </w:r>
    </w:p>
    <w:p>
      <w:pPr>
        <w:numPr>
          <w:ilvl w:val="0"/>
          <w:numId w:val="1"/>
        </w:numPr>
        <w:spacing w:line="560" w:lineRule="exact"/>
        <w:rPr>
          <w:rFonts w:ascii="仿宋_GB2312" w:hAnsi="黑体" w:eastAsia="仿宋_GB2312"/>
          <w:sz w:val="32"/>
          <w:szCs w:val="32"/>
        </w:rPr>
      </w:pPr>
      <w:r>
        <w:rPr>
          <w:rFonts w:hint="eastAsia" w:ascii="仿宋_GB2312" w:hAnsi="黑体" w:eastAsia="仿宋_GB2312"/>
          <w:sz w:val="32"/>
          <w:szCs w:val="32"/>
        </w:rPr>
        <w:t>收支预算总表</w:t>
      </w:r>
    </w:p>
    <w:p>
      <w:pPr>
        <w:numPr>
          <w:ilvl w:val="0"/>
          <w:numId w:val="1"/>
        </w:numPr>
        <w:spacing w:line="560" w:lineRule="exact"/>
        <w:rPr>
          <w:rFonts w:ascii="仿宋_GB2312" w:hAnsi="黑体" w:eastAsia="仿宋_GB2312"/>
          <w:sz w:val="32"/>
          <w:szCs w:val="32"/>
        </w:rPr>
      </w:pPr>
      <w:r>
        <w:rPr>
          <w:rFonts w:hint="eastAsia" w:ascii="仿宋_GB2312" w:hAnsi="黑体" w:eastAsia="仿宋_GB2312"/>
          <w:sz w:val="32"/>
          <w:szCs w:val="32"/>
        </w:rPr>
        <w:t>收入预算总表</w:t>
      </w:r>
    </w:p>
    <w:p>
      <w:pPr>
        <w:numPr>
          <w:ilvl w:val="0"/>
          <w:numId w:val="1"/>
        </w:numPr>
        <w:spacing w:line="560" w:lineRule="exact"/>
        <w:rPr>
          <w:rFonts w:ascii="仿宋_GB2312" w:hAnsi="黑体" w:eastAsia="仿宋_GB2312"/>
          <w:sz w:val="32"/>
          <w:szCs w:val="32"/>
        </w:rPr>
      </w:pPr>
      <w:r>
        <w:rPr>
          <w:rFonts w:hint="eastAsia" w:ascii="仿宋_GB2312" w:hAnsi="黑体" w:eastAsia="仿宋_GB2312"/>
          <w:sz w:val="32"/>
          <w:szCs w:val="32"/>
        </w:rPr>
        <w:t>支出预算总表</w:t>
      </w:r>
    </w:p>
    <w:p>
      <w:pPr>
        <w:numPr>
          <w:ilvl w:val="0"/>
          <w:numId w:val="1"/>
        </w:numPr>
        <w:spacing w:line="560" w:lineRule="exact"/>
        <w:rPr>
          <w:rFonts w:ascii="仿宋_GB2312" w:hAnsi="黑体" w:eastAsia="仿宋_GB2312"/>
          <w:sz w:val="32"/>
          <w:szCs w:val="32"/>
        </w:rPr>
      </w:pPr>
      <w:r>
        <w:rPr>
          <w:rFonts w:hint="eastAsia" w:ascii="仿宋_GB2312" w:hAnsi="黑体" w:eastAsia="仿宋_GB2312"/>
          <w:sz w:val="32"/>
          <w:szCs w:val="32"/>
        </w:rPr>
        <w:t>财政拨款收支预算总表</w:t>
      </w:r>
    </w:p>
    <w:p>
      <w:pPr>
        <w:numPr>
          <w:ilvl w:val="0"/>
          <w:numId w:val="1"/>
        </w:numPr>
        <w:spacing w:line="560" w:lineRule="exact"/>
        <w:rPr>
          <w:rFonts w:ascii="仿宋_GB2312" w:hAnsi="黑体" w:eastAsia="仿宋_GB2312"/>
          <w:sz w:val="32"/>
          <w:szCs w:val="32"/>
        </w:rPr>
      </w:pPr>
      <w:r>
        <w:rPr>
          <w:rFonts w:hint="eastAsia" w:ascii="仿宋_GB2312" w:hAnsi="黑体" w:eastAsia="仿宋_GB2312"/>
          <w:sz w:val="32"/>
          <w:szCs w:val="32"/>
        </w:rPr>
        <w:t>一般公共预算支出表</w:t>
      </w:r>
    </w:p>
    <w:p>
      <w:pPr>
        <w:numPr>
          <w:ilvl w:val="0"/>
          <w:numId w:val="1"/>
        </w:numPr>
        <w:spacing w:line="560" w:lineRule="exact"/>
        <w:rPr>
          <w:rFonts w:ascii="仿宋_GB2312" w:hAnsi="黑体" w:eastAsia="仿宋_GB2312"/>
          <w:sz w:val="32"/>
          <w:szCs w:val="32"/>
        </w:rPr>
      </w:pPr>
      <w:r>
        <w:rPr>
          <w:rFonts w:hint="eastAsia" w:ascii="仿宋_GB2312" w:hAnsi="黑体" w:eastAsia="仿宋_GB2312"/>
          <w:sz w:val="32"/>
          <w:szCs w:val="32"/>
        </w:rPr>
        <w:t>一般公共预算基本支出表</w:t>
      </w:r>
    </w:p>
    <w:p>
      <w:pPr>
        <w:numPr>
          <w:ilvl w:val="0"/>
          <w:numId w:val="1"/>
        </w:numPr>
        <w:spacing w:line="560" w:lineRule="exact"/>
        <w:rPr>
          <w:rFonts w:ascii="仿宋_GB2312" w:hAnsi="黑体" w:eastAsia="仿宋_GB2312"/>
          <w:sz w:val="32"/>
          <w:szCs w:val="32"/>
        </w:rPr>
      </w:pPr>
      <w:r>
        <w:rPr>
          <w:rFonts w:hint="eastAsia" w:ascii="仿宋_GB2312" w:hAnsi="黑体" w:eastAsia="仿宋_GB2312"/>
          <w:sz w:val="32"/>
          <w:szCs w:val="32"/>
          <w:lang w:eastAsia="zh-CN"/>
        </w:rPr>
        <w:t>财政拨款</w:t>
      </w:r>
      <w:r>
        <w:rPr>
          <w:rFonts w:hint="eastAsia" w:ascii="仿宋_GB2312" w:hAnsi="黑体" w:eastAsia="仿宋_GB2312"/>
          <w:sz w:val="32"/>
          <w:szCs w:val="32"/>
        </w:rPr>
        <w:t>预算“三公”经费支出表</w:t>
      </w:r>
    </w:p>
    <w:p>
      <w:pPr>
        <w:numPr>
          <w:ilvl w:val="0"/>
          <w:numId w:val="2"/>
        </w:numPr>
        <w:tabs>
          <w:tab w:val="left" w:pos="1260"/>
        </w:tabs>
        <w:spacing w:line="560" w:lineRule="exact"/>
        <w:ind w:left="540"/>
        <w:rPr>
          <w:rFonts w:ascii="仿宋_GB2312" w:hAnsi="宋体" w:eastAsia="仿宋_GB2312" w:cs="宋体"/>
          <w:sz w:val="32"/>
          <w:szCs w:val="32"/>
        </w:rPr>
      </w:pPr>
      <w:r>
        <w:rPr>
          <w:rFonts w:hint="eastAsia" w:ascii="仿宋_GB2312" w:hAnsi="宋体" w:eastAsia="仿宋_GB2312" w:cs="宋体"/>
          <w:sz w:val="32"/>
          <w:szCs w:val="32"/>
        </w:rPr>
        <w:t>政府性基金预算支出表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项目支出预算表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支出功能分类预算表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支出经济分类预算表（政府预算）</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支出经济分类预算表（部门预算）</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债务支出预算表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政府采购支出预算表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政府购买服务支出预算表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部门（单位）整体绩效目标表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部门预算项目（政策）绩效目标表</w:t>
      </w:r>
    </w:p>
    <w:p>
      <w:pPr>
        <w:numPr>
          <w:ilvl w:val="0"/>
          <w:numId w:val="2"/>
        </w:numPr>
        <w:tabs>
          <w:tab w:val="left" w:pos="1260"/>
        </w:tabs>
        <w:spacing w:line="560" w:lineRule="exact"/>
        <w:ind w:left="540"/>
        <w:rPr>
          <w:rFonts w:ascii="仿宋_GB2312" w:hAnsi="黑体" w:eastAsia="仿宋_GB2312"/>
          <w:sz w:val="32"/>
          <w:szCs w:val="32"/>
        </w:rPr>
      </w:pPr>
      <w:r>
        <w:rPr>
          <w:rFonts w:hint="eastAsia" w:ascii="仿宋_GB2312" w:hAnsi="黑体" w:eastAsia="仿宋_GB2312"/>
          <w:sz w:val="32"/>
          <w:szCs w:val="32"/>
        </w:rPr>
        <w:t>部门管理专项资金预算表</w:t>
      </w:r>
    </w:p>
    <w:p>
      <w:pPr>
        <w:spacing w:line="560" w:lineRule="exact"/>
        <w:rPr>
          <w:rFonts w:ascii="黑体" w:hAnsi="黑体" w:eastAsia="黑体"/>
          <w:sz w:val="32"/>
          <w:szCs w:val="32"/>
        </w:rPr>
      </w:pPr>
      <w:r>
        <w:rPr>
          <w:rFonts w:hint="eastAsia" w:ascii="黑体" w:hAnsi="黑体" w:eastAsia="黑体"/>
          <w:sz w:val="32"/>
          <w:szCs w:val="32"/>
        </w:rPr>
        <w:t>　</w:t>
      </w: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宋体" w:hAnsi="宋体"/>
          <w:b/>
          <w:sz w:val="36"/>
          <w:szCs w:val="36"/>
        </w:rPr>
      </w:pPr>
    </w:p>
    <w:p>
      <w:pPr>
        <w:spacing w:line="560" w:lineRule="exact"/>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spacing w:line="560" w:lineRule="exact"/>
        <w:jc w:val="center"/>
        <w:rPr>
          <w:rFonts w:ascii="宋体" w:hAnsi="宋体"/>
          <w:b/>
          <w:sz w:val="36"/>
          <w:szCs w:val="36"/>
        </w:rPr>
      </w:pPr>
    </w:p>
    <w:p>
      <w:pPr>
        <w:pStyle w:val="2"/>
      </w:pPr>
    </w:p>
    <w:p>
      <w:pPr>
        <w:spacing w:line="560" w:lineRule="exact"/>
        <w:jc w:val="center"/>
        <w:rPr>
          <w:rFonts w:ascii="宋体" w:hAnsi="宋体"/>
          <w:b/>
          <w:sz w:val="36"/>
          <w:szCs w:val="36"/>
        </w:rPr>
      </w:pPr>
      <w:r>
        <w:rPr>
          <w:rFonts w:hint="eastAsia" w:ascii="宋体" w:hAnsi="宋体"/>
          <w:b/>
          <w:sz w:val="36"/>
          <w:szCs w:val="36"/>
        </w:rPr>
        <w:t>第一部分　　部门预算公开管理文件</w:t>
      </w:r>
      <w:r>
        <w:commentReference w:id="0"/>
      </w:r>
    </w:p>
    <w:p>
      <w:pPr>
        <w:numPr>
          <w:ilvl w:val="0"/>
          <w:numId w:val="0"/>
        </w:numPr>
        <w:spacing w:line="560" w:lineRule="exact"/>
        <w:jc w:val="center"/>
        <w:rPr>
          <w:rFonts w:hint="eastAsia" w:ascii="宋体" w:hAnsi="宋体"/>
          <w:b/>
          <w:sz w:val="36"/>
          <w:szCs w:val="36"/>
          <w:lang w:val="en-US" w:eastAsia="zh-CN"/>
        </w:rPr>
      </w:pPr>
      <w:r>
        <w:rPr>
          <w:rFonts w:hint="eastAsia" w:ascii="宋体" w:hAnsi="宋体"/>
          <w:b/>
          <w:sz w:val="36"/>
          <w:szCs w:val="36"/>
          <w:lang w:val="en-US" w:eastAsia="zh-CN"/>
        </w:rPr>
        <w:t>葫芦岛市连山区人民检察院预决算公开管理流程</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为贯彻落实国家和我省关于建立全面规范、公开透明预决算制度的有关要求，根据《中华人民共和国预算法》、《中华人民共和国政府信息公开条例》（国务院令第492号）、《中共中央办公厅、国务院办公厅印发&lt;关于进一步推进预算公开工作的意见&gt;的通知》（中办发﹝2016﹞13号）等有关规定和省财政厅关于做好省级部门预决算信息公开工作的相关文件精神，结合实际，制定本办法。</w:t>
      </w:r>
    </w:p>
    <w:p>
      <w:pPr>
        <w:numPr>
          <w:ilvl w:val="0"/>
          <w:numId w:val="0"/>
        </w:numPr>
        <w:spacing w:line="560" w:lineRule="exact"/>
        <w:ind w:firstLine="646" w:firstLineChars="200"/>
        <w:jc w:val="center"/>
        <w:rPr>
          <w:rFonts w:hint="eastAsia" w:ascii="仿宋_GB2312" w:hAnsi="宋体" w:eastAsia="仿宋_GB2312" w:cs="Times New Roman"/>
          <w:sz w:val="32"/>
          <w:szCs w:val="32"/>
          <w:lang w:val="en-US" w:eastAsia="zh-CN"/>
        </w:rPr>
      </w:pPr>
      <w:r>
        <w:rPr>
          <w:rFonts w:hint="eastAsia" w:ascii="黑体" w:hAnsi="黑体" w:eastAsia="黑体" w:cs="Times New Roman"/>
          <w:kern w:val="2"/>
          <w:sz w:val="32"/>
          <w:szCs w:val="32"/>
          <w:lang w:val="en-US" w:eastAsia="zh-CN" w:bidi="ar-SA"/>
        </w:rPr>
        <w:t>第一章  公开原则</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作为本部门预决算信息公开责任主体，负责公开本部门预决算信息，并确保信息公开及时、准确和完整。同时，根据财政部门统一工作要求，向财政部门反馈本部门预算信息公开情况。</w:t>
      </w:r>
    </w:p>
    <w:p>
      <w:pPr>
        <w:numPr>
          <w:ilvl w:val="0"/>
          <w:numId w:val="0"/>
        </w:numPr>
        <w:spacing w:line="560" w:lineRule="exact"/>
        <w:ind w:firstLine="646" w:firstLineChars="200"/>
        <w:jc w:val="center"/>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第二章  公开内容</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葫芦岛市连山区人民检察院公开的预算为经省财政批复的部门预算，主要内容如下：</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（一）单位职责、机构设置、编制现状、年度主要工作任务等情况。</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（二）预算收支情况。</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（三）机关运行情况说明。</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（四）“三公”经费财政拨款预算总额和分项数额、会议费和培训费预算总额，并对增减变化的原因进行说明。</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（五）政府采购信息。</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（六）国有资产占用情况。</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（七）项目预算绩效目标情况。</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（八）相关名词解释</w:t>
      </w:r>
    </w:p>
    <w:p>
      <w:pPr>
        <w:numPr>
          <w:ilvl w:val="0"/>
          <w:numId w:val="0"/>
        </w:numPr>
        <w:spacing w:line="560" w:lineRule="exact"/>
        <w:ind w:firstLine="646" w:firstLineChars="200"/>
        <w:jc w:val="center"/>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第三章  公开方式</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在符合《预算法》关于部门预算公开时限要求的前提下，在本部门网站上公开本部门预算信息。设立“预算公开”专栏，汇总集中公开信息，便于社会公众查询监督。其中，当年预算应当公开在本部门网站首页醒目位置。同时，应保留好公开痕迹，并积极推动本部门网站建设。</w:t>
      </w:r>
    </w:p>
    <w:p>
      <w:pPr>
        <w:numPr>
          <w:ilvl w:val="0"/>
          <w:numId w:val="0"/>
        </w:numPr>
        <w:spacing w:line="560" w:lineRule="exact"/>
        <w:ind w:firstLine="646"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（二）将本部门预算信息上传至省政府门户网站邮箱，待审核无误后，由省政府门户网站管理中心统一在省政府门户网站设立的“预决算公开”专栏公开部门预算信息，实行“双公开”。</w:t>
      </w:r>
    </w:p>
    <w:p>
      <w:pPr>
        <w:numPr>
          <w:ilvl w:val="0"/>
          <w:numId w:val="0"/>
        </w:numPr>
        <w:spacing w:line="560" w:lineRule="exact"/>
        <w:ind w:firstLine="646" w:firstLineChars="200"/>
        <w:rPr>
          <w:rFonts w:ascii="仿宋" w:hAnsi="仿宋" w:eastAsia="仿宋"/>
          <w:sz w:val="32"/>
          <w:szCs w:val="32"/>
        </w:rPr>
      </w:pPr>
      <w:r>
        <w:rPr>
          <w:rFonts w:hint="eastAsia" w:ascii="仿宋_GB2312" w:hAnsi="宋体" w:eastAsia="仿宋_GB2312" w:cs="Times New Roman"/>
          <w:sz w:val="32"/>
          <w:szCs w:val="32"/>
          <w:lang w:val="en-US" w:eastAsia="zh-CN"/>
        </w:rPr>
        <w:t>（三）按照财政厅要求在指定网站和本部门网站上按时公开本部门决算批复。</w:t>
      </w:r>
    </w:p>
    <w:p>
      <w:pPr>
        <w:spacing w:line="560" w:lineRule="exact"/>
        <w:rPr>
          <w:rFonts w:ascii="宋体" w:hAnsi="宋体"/>
          <w:b/>
          <w:sz w:val="36"/>
          <w:szCs w:val="36"/>
        </w:rPr>
      </w:pPr>
    </w:p>
    <w:p>
      <w:pPr>
        <w:spacing w:line="560" w:lineRule="exact"/>
        <w:rPr>
          <w:rFonts w:ascii="宋体" w:hAnsi="宋体"/>
          <w:b/>
          <w:sz w:val="36"/>
          <w:szCs w:val="36"/>
        </w:rPr>
      </w:pPr>
    </w:p>
    <w:p>
      <w:pPr>
        <w:spacing w:line="560" w:lineRule="exact"/>
        <w:rPr>
          <w:rFonts w:ascii="宋体" w:hAnsi="宋体"/>
          <w:b/>
          <w:sz w:val="36"/>
          <w:szCs w:val="36"/>
        </w:rPr>
      </w:pPr>
    </w:p>
    <w:p>
      <w:pPr>
        <w:spacing w:line="560" w:lineRule="exact"/>
        <w:rPr>
          <w:rFonts w:ascii="宋体" w:hAnsi="宋体"/>
          <w:b/>
          <w:sz w:val="36"/>
          <w:szCs w:val="36"/>
        </w:rPr>
      </w:pPr>
    </w:p>
    <w:p>
      <w:pPr>
        <w:pStyle w:val="2"/>
      </w:pPr>
    </w:p>
    <w:p/>
    <w:p>
      <w:pPr>
        <w:pStyle w:val="2"/>
      </w:pPr>
    </w:p>
    <w:p/>
    <w:p>
      <w:pPr>
        <w:pStyle w:val="2"/>
      </w:pPr>
    </w:p>
    <w:p>
      <w:pPr>
        <w:spacing w:line="560" w:lineRule="exact"/>
        <w:jc w:val="center"/>
        <w:rPr>
          <w:rFonts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eastAsia="zh-CN"/>
        </w:rPr>
        <w:t>葫芦岛市连山区人民检察院</w:t>
      </w:r>
      <w:r>
        <w:rPr>
          <w:rFonts w:hint="eastAsia" w:ascii="宋体" w:hAnsi="宋体"/>
          <w:b/>
          <w:sz w:val="36"/>
          <w:szCs w:val="36"/>
        </w:rPr>
        <w:t>概况</w:t>
      </w:r>
    </w:p>
    <w:p>
      <w:pPr>
        <w:spacing w:line="560" w:lineRule="exact"/>
        <w:ind w:firstLine="646" w:firstLineChars="200"/>
        <w:jc w:val="left"/>
        <w:rPr>
          <w:rFonts w:ascii="黑体" w:eastAsia="黑体"/>
          <w:sz w:val="32"/>
          <w:szCs w:val="32"/>
        </w:rPr>
      </w:pPr>
    </w:p>
    <w:p>
      <w:pPr>
        <w:spacing w:line="560" w:lineRule="exact"/>
        <w:ind w:firstLine="646" w:firstLineChars="200"/>
        <w:jc w:val="left"/>
        <w:rPr>
          <w:rFonts w:ascii="黑体" w:eastAsia="黑体"/>
          <w:sz w:val="32"/>
          <w:szCs w:val="32"/>
        </w:rPr>
      </w:pPr>
      <w:r>
        <w:rPr>
          <w:rFonts w:hint="eastAsia" w:ascii="黑体" w:eastAsia="黑体"/>
          <w:sz w:val="32"/>
          <w:szCs w:val="32"/>
        </w:rPr>
        <w:t>一、部门职责</w:t>
      </w:r>
    </w:p>
    <w:p>
      <w:pPr>
        <w:spacing w:line="560" w:lineRule="exact"/>
        <w:ind w:firstLine="646" w:firstLineChars="200"/>
        <w:jc w:val="left"/>
        <w:rPr>
          <w:rFonts w:ascii="仿宋_GB2312" w:eastAsia="仿宋_GB2312"/>
          <w:sz w:val="32"/>
          <w:szCs w:val="32"/>
        </w:rPr>
      </w:pPr>
      <w:r>
        <w:rPr>
          <w:rFonts w:hint="eastAsia" w:ascii="仿宋_GB2312" w:eastAsia="仿宋_GB2312"/>
          <w:sz w:val="32"/>
          <w:szCs w:val="32"/>
        </w:rPr>
        <w:t>（一）依法向区人民代表大会及常务委员会提出议案。</w:t>
      </w:r>
    </w:p>
    <w:p>
      <w:pPr>
        <w:spacing w:line="560" w:lineRule="exact"/>
        <w:ind w:firstLine="646" w:firstLineChars="200"/>
        <w:jc w:val="left"/>
        <w:rPr>
          <w:rFonts w:ascii="仿宋_GB2312" w:eastAsia="仿宋_GB2312"/>
          <w:sz w:val="32"/>
          <w:szCs w:val="32"/>
        </w:rPr>
      </w:pPr>
      <w:r>
        <w:rPr>
          <w:rFonts w:hint="eastAsia" w:ascii="仿宋_GB2312" w:eastAsia="仿宋_GB2312"/>
          <w:sz w:val="32"/>
          <w:szCs w:val="32"/>
        </w:rPr>
        <w:t>（二）依据上级人民检察院的部署，确定全区检察工作任务， 开展各项检察工作。</w:t>
      </w:r>
    </w:p>
    <w:p>
      <w:pPr>
        <w:spacing w:line="560" w:lineRule="exact"/>
        <w:ind w:firstLine="646" w:firstLineChars="200"/>
        <w:jc w:val="left"/>
        <w:rPr>
          <w:rFonts w:ascii="仿宋_GB2312" w:eastAsia="仿宋_GB2312"/>
          <w:sz w:val="32"/>
          <w:szCs w:val="32"/>
        </w:rPr>
      </w:pPr>
      <w:r>
        <w:rPr>
          <w:rFonts w:hint="eastAsia" w:ascii="仿宋_GB2312" w:eastAsia="仿宋_GB2312"/>
          <w:sz w:val="32"/>
          <w:szCs w:val="32"/>
        </w:rPr>
        <w:t>（三）对严重破坏国家政策、法律、法令、政令统一实施的犯罪案件，依法行使检察权。</w:t>
      </w:r>
    </w:p>
    <w:p>
      <w:pPr>
        <w:spacing w:line="560" w:lineRule="exact"/>
        <w:ind w:firstLine="646" w:firstLineChars="200"/>
        <w:jc w:val="left"/>
        <w:rPr>
          <w:rFonts w:hint="eastAsia" w:ascii="仿宋_GB2312" w:eastAsia="仿宋_GB2312"/>
          <w:sz w:val="32"/>
          <w:szCs w:val="32"/>
        </w:rPr>
      </w:pPr>
      <w:r>
        <w:rPr>
          <w:rFonts w:hint="eastAsia" w:ascii="仿宋_GB2312" w:eastAsia="仿宋_GB2312"/>
          <w:sz w:val="32"/>
          <w:szCs w:val="32"/>
        </w:rPr>
        <w:t>(四)对刑事案件依法审查批捕、决定逮捕、提起公诉。</w:t>
      </w:r>
    </w:p>
    <w:p>
      <w:pPr>
        <w:spacing w:line="560" w:lineRule="exact"/>
        <w:ind w:firstLine="646" w:firstLineChars="200"/>
        <w:jc w:val="left"/>
        <w:rPr>
          <w:rFonts w:hint="eastAsia" w:ascii="仿宋_GB2312" w:eastAsia="仿宋_GB2312"/>
          <w:sz w:val="32"/>
          <w:szCs w:val="32"/>
        </w:rPr>
      </w:pPr>
      <w:r>
        <w:rPr>
          <w:rFonts w:hint="eastAsia" w:ascii="仿宋_GB2312" w:eastAsia="仿宋_GB2312"/>
          <w:sz w:val="32"/>
          <w:szCs w:val="32"/>
        </w:rPr>
        <w:t xml:space="preserve">(五)依法对刑事诉讼、民事诉讼和行政诉讼实行法律监督。 </w:t>
      </w:r>
    </w:p>
    <w:p>
      <w:pPr>
        <w:spacing w:line="560" w:lineRule="exact"/>
        <w:ind w:firstLine="646" w:firstLineChars="200"/>
        <w:jc w:val="left"/>
        <w:rPr>
          <w:rFonts w:hint="eastAsia" w:ascii="仿宋_GB2312" w:eastAsia="仿宋_GB2312"/>
          <w:sz w:val="32"/>
          <w:szCs w:val="32"/>
        </w:rPr>
      </w:pPr>
      <w:r>
        <w:rPr>
          <w:rFonts w:hint="eastAsia" w:ascii="仿宋_GB2312" w:eastAsia="仿宋_GB2312"/>
          <w:sz w:val="32"/>
          <w:szCs w:val="32"/>
        </w:rPr>
        <w:t>(六)依法对执行机关执行刑罚活动是否合法实行监督。</w:t>
      </w:r>
    </w:p>
    <w:p>
      <w:pPr>
        <w:spacing w:line="560" w:lineRule="exact"/>
        <w:ind w:firstLine="646" w:firstLineChars="200"/>
        <w:jc w:val="left"/>
        <w:rPr>
          <w:rFonts w:hint="eastAsia" w:ascii="仿宋_GB2312" w:eastAsia="仿宋_GB2312"/>
          <w:sz w:val="32"/>
          <w:szCs w:val="32"/>
        </w:rPr>
      </w:pPr>
      <w:r>
        <w:rPr>
          <w:rFonts w:hint="eastAsia" w:ascii="仿宋_GB2312" w:eastAsia="仿宋_GB2312"/>
          <w:sz w:val="32"/>
          <w:szCs w:val="32"/>
        </w:rPr>
        <w:t>(七)受理单位和个人的报案、控告、申诉、举报以及犯罪嫌疑人的自首，并依法开展刑事赔偿工作。</w:t>
      </w:r>
    </w:p>
    <w:p>
      <w:pPr>
        <w:spacing w:line="560" w:lineRule="exact"/>
        <w:ind w:firstLine="646" w:firstLineChars="200"/>
        <w:jc w:val="left"/>
        <w:rPr>
          <w:rFonts w:hint="eastAsia" w:ascii="仿宋_GB2312" w:eastAsia="仿宋_GB2312"/>
          <w:sz w:val="32"/>
          <w:szCs w:val="32"/>
        </w:rPr>
      </w:pPr>
      <w:r>
        <w:rPr>
          <w:rFonts w:hint="eastAsia" w:ascii="仿宋_GB2312" w:eastAsia="仿宋_GB2312"/>
          <w:sz w:val="32"/>
          <w:szCs w:val="32"/>
        </w:rPr>
        <w:t>(八)依法进行现场勘查和检验鉴定，并为检察工作提供有关的技术服务。</w:t>
      </w:r>
    </w:p>
    <w:p>
      <w:pPr>
        <w:spacing w:line="560" w:lineRule="exact"/>
        <w:ind w:firstLine="646" w:firstLineChars="200"/>
        <w:jc w:val="left"/>
        <w:rPr>
          <w:rFonts w:hint="eastAsia" w:ascii="仿宋_GB2312" w:eastAsia="仿宋_GB2312"/>
          <w:sz w:val="32"/>
          <w:szCs w:val="32"/>
        </w:rPr>
      </w:pPr>
      <w:r>
        <w:rPr>
          <w:rFonts w:hint="eastAsia" w:ascii="仿宋_GB2312" w:eastAsia="仿宋_GB2312"/>
          <w:sz w:val="32"/>
          <w:szCs w:val="32"/>
        </w:rPr>
        <w:t>(九)受理对检察人员违法行为的控告和申诉，查办检察人员的违法违纪案件。</w:t>
      </w:r>
    </w:p>
    <w:p>
      <w:pPr>
        <w:spacing w:line="560" w:lineRule="exact"/>
        <w:ind w:firstLine="646" w:firstLineChars="200"/>
        <w:jc w:val="left"/>
        <w:rPr>
          <w:rFonts w:ascii="仿宋_GB2312" w:eastAsia="仿宋_GB2312"/>
          <w:sz w:val="32"/>
          <w:szCs w:val="32"/>
        </w:rPr>
      </w:pPr>
      <w:r>
        <w:rPr>
          <w:rFonts w:hint="eastAsia" w:ascii="仿宋_GB2312" w:eastAsia="仿宋_GB2312"/>
          <w:sz w:val="32"/>
          <w:szCs w:val="32"/>
        </w:rPr>
        <w:t>(十)负责其他应由区人民检察院承办的事项。</w:t>
      </w:r>
    </w:p>
    <w:p>
      <w:pPr>
        <w:spacing w:line="560" w:lineRule="exact"/>
        <w:ind w:firstLine="646" w:firstLineChars="200"/>
        <w:jc w:val="left"/>
        <w:rPr>
          <w:rFonts w:ascii="黑体" w:eastAsia="黑体"/>
          <w:sz w:val="32"/>
          <w:szCs w:val="32"/>
        </w:rPr>
      </w:pPr>
      <w:r>
        <w:rPr>
          <w:rFonts w:hint="eastAsia" w:ascii="黑体" w:eastAsia="黑体"/>
          <w:sz w:val="32"/>
          <w:szCs w:val="32"/>
        </w:rPr>
        <w:t>二、机构设置</w:t>
      </w:r>
      <w:r>
        <w:commentReference w:id="1"/>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纳入</w:t>
      </w:r>
      <w:r>
        <w:rPr>
          <w:rFonts w:hint="eastAsia" w:ascii="仿宋_GB2312" w:eastAsia="仿宋_GB2312"/>
          <w:b/>
          <w:sz w:val="32"/>
          <w:szCs w:val="32"/>
          <w:lang w:eastAsia="zh-CN"/>
        </w:rPr>
        <w:t>葫芦岛市连山区人民检察院</w:t>
      </w:r>
      <w:r>
        <w:rPr>
          <w:rFonts w:hint="eastAsia" w:ascii="仿宋_GB2312" w:eastAsia="仿宋_GB2312"/>
          <w:b/>
          <w:sz w:val="32"/>
          <w:szCs w:val="32"/>
          <w:lang w:val="en-US" w:eastAsia="zh-CN"/>
        </w:rPr>
        <w:t>2026年</w:t>
      </w:r>
      <w:r>
        <w:rPr>
          <w:rFonts w:hint="eastAsia" w:ascii="仿宋_GB2312" w:eastAsia="仿宋_GB2312"/>
          <w:b/>
          <w:sz w:val="32"/>
          <w:szCs w:val="32"/>
        </w:rPr>
        <w:t>部门预算编制范围的二级预算单位包括：</w:t>
      </w:r>
    </w:p>
    <w:p>
      <w:pPr>
        <w:pStyle w:val="2"/>
        <w:ind w:firstLine="646" w:firstLineChars="200"/>
        <w:rPr>
          <w:rFonts w:hint="eastAsia" w:ascii="仿宋_GB2312" w:eastAsia="仿宋_GB2312"/>
          <w:sz w:val="32"/>
          <w:szCs w:val="32"/>
          <w:lang w:eastAsia="zh-CN"/>
        </w:rPr>
      </w:pPr>
      <w:r>
        <w:rPr>
          <w:rFonts w:hint="eastAsia" w:ascii="仿宋_GB2312" w:eastAsia="仿宋_GB2312"/>
          <w:sz w:val="32"/>
          <w:szCs w:val="32"/>
          <w:lang w:eastAsia="zh-CN"/>
        </w:rPr>
        <w:t>葫芦岛市连山区人民检察院本级</w:t>
      </w:r>
    </w:p>
    <w:p>
      <w:pPr>
        <w:pStyle w:val="2"/>
      </w:pPr>
    </w:p>
    <w:p>
      <w:pPr>
        <w:spacing w:line="560" w:lineRule="exact"/>
        <w:jc w:val="center"/>
        <w:rPr>
          <w:rFonts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eastAsia="zh-CN"/>
        </w:rPr>
        <w:t>葫芦岛市连山区人民检察院</w:t>
      </w:r>
      <w:r>
        <w:rPr>
          <w:rFonts w:hint="eastAsia" w:ascii="宋体" w:hAnsi="宋体"/>
          <w:b/>
          <w:sz w:val="36"/>
          <w:szCs w:val="36"/>
          <w:lang w:val="en-US" w:eastAsia="zh-CN"/>
        </w:rPr>
        <w:t>2026年</w:t>
      </w:r>
      <w:r>
        <w:rPr>
          <w:rFonts w:hint="eastAsia" w:ascii="宋体" w:hAnsi="宋体"/>
          <w:b/>
          <w:sz w:val="36"/>
          <w:szCs w:val="36"/>
        </w:rPr>
        <w:t>部门预算情况说明</w:t>
      </w:r>
    </w:p>
    <w:p>
      <w:pPr>
        <w:spacing w:line="560" w:lineRule="exact"/>
        <w:jc w:val="center"/>
        <w:rPr>
          <w:rFonts w:ascii="宋体" w:hAnsi="宋体"/>
          <w:b/>
          <w:sz w:val="36"/>
          <w:szCs w:val="36"/>
        </w:rPr>
      </w:pPr>
    </w:p>
    <w:p>
      <w:pPr>
        <w:spacing w:line="560" w:lineRule="exact"/>
        <w:ind w:firstLine="632" w:firstLineChars="196"/>
        <w:rPr>
          <w:rFonts w:ascii="黑体" w:hAnsi="黑体" w:eastAsia="黑体"/>
          <w:sz w:val="32"/>
          <w:szCs w:val="32"/>
        </w:rPr>
      </w:pPr>
      <w:r>
        <w:rPr>
          <w:rFonts w:hint="eastAsia" w:ascii="黑体" w:hAnsi="黑体" w:eastAsia="黑体"/>
          <w:sz w:val="32"/>
          <w:szCs w:val="32"/>
        </w:rPr>
        <w:t>一、综合预算收支指标情况</w:t>
      </w:r>
    </w:p>
    <w:p>
      <w:pPr>
        <w:spacing w:line="560" w:lineRule="exact"/>
        <w:ind w:firstLine="660"/>
        <w:rPr>
          <w:rFonts w:ascii="仿宋_GB2312" w:hAnsi="宋体" w:eastAsia="仿宋_GB2312"/>
          <w:sz w:val="32"/>
          <w:szCs w:val="32"/>
        </w:rPr>
      </w:pPr>
      <w:r>
        <w:rPr>
          <w:rFonts w:hint="eastAsia" w:ascii="楷体" w:hAnsi="楷体" w:eastAsia="楷体"/>
          <w:b/>
          <w:sz w:val="32"/>
          <w:szCs w:val="32"/>
        </w:rPr>
        <w:t>（一）收入预算1955.2</w:t>
      </w:r>
      <w:r>
        <w:rPr>
          <w:rFonts w:hint="eastAsia" w:ascii="楷体" w:hAnsi="楷体" w:eastAsia="楷体"/>
          <w:b/>
          <w:sz w:val="32"/>
          <w:szCs w:val="32"/>
          <w:lang w:val="en-US" w:eastAsia="zh-CN"/>
        </w:rPr>
        <w:t>6</w:t>
      </w:r>
      <w:r>
        <w:rPr>
          <w:rFonts w:hint="eastAsia" w:ascii="楷体" w:hAnsi="楷体" w:eastAsia="楷体"/>
          <w:b/>
          <w:sz w:val="32"/>
          <w:szCs w:val="32"/>
        </w:rPr>
        <w:t>万元，</w:t>
      </w:r>
      <w:r>
        <w:rPr>
          <w:rFonts w:hint="eastAsia" w:ascii="仿宋_GB2312" w:hAnsi="宋体" w:eastAsia="仿宋_GB2312"/>
          <w:sz w:val="32"/>
          <w:szCs w:val="32"/>
        </w:rPr>
        <w:t>其中：</w:t>
      </w:r>
    </w:p>
    <w:p>
      <w:pPr>
        <w:spacing w:line="560" w:lineRule="exact"/>
        <w:ind w:firstLine="660"/>
        <w:rPr>
          <w:rFonts w:ascii="仿宋_GB2312" w:hAnsi="宋体" w:eastAsia="仿宋_GB2312"/>
          <w:sz w:val="32"/>
          <w:szCs w:val="32"/>
        </w:rPr>
      </w:pPr>
      <w:r>
        <w:rPr>
          <w:rFonts w:hint="eastAsia" w:ascii="仿宋_GB2312" w:hAnsi="宋体" w:eastAsia="仿宋_GB2312"/>
          <w:sz w:val="32"/>
          <w:szCs w:val="32"/>
        </w:rPr>
        <w:t>1.一般公共预算拨款收入1935.44万元；</w:t>
      </w:r>
    </w:p>
    <w:p>
      <w:pPr>
        <w:spacing w:line="560" w:lineRule="exact"/>
        <w:ind w:firstLine="660"/>
        <w:rPr>
          <w:rFonts w:ascii="仿宋_GB2312" w:hAnsi="宋体" w:eastAsia="仿宋_GB2312"/>
          <w:sz w:val="32"/>
          <w:szCs w:val="32"/>
        </w:rPr>
      </w:pPr>
      <w:r>
        <w:rPr>
          <w:rFonts w:hint="eastAsia" w:ascii="仿宋_GB2312" w:hAnsi="宋体" w:eastAsia="仿宋_GB2312"/>
          <w:sz w:val="32"/>
          <w:szCs w:val="32"/>
        </w:rPr>
        <w:t>2.政府性基金预算拨款收入</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p>
    <w:p>
      <w:pPr>
        <w:spacing w:line="560" w:lineRule="exact"/>
        <w:ind w:left="647" w:leftChars="304" w:firstLine="16" w:firstLineChars="5"/>
        <w:rPr>
          <w:rFonts w:ascii="仿宋_GB2312" w:hAnsi="宋体" w:eastAsia="仿宋_GB2312"/>
          <w:sz w:val="32"/>
          <w:szCs w:val="32"/>
        </w:rPr>
      </w:pPr>
      <w:r>
        <w:rPr>
          <w:rFonts w:hint="eastAsia" w:ascii="仿宋_GB2312" w:hAnsi="宋体" w:eastAsia="仿宋_GB2312"/>
          <w:sz w:val="32"/>
          <w:szCs w:val="32"/>
        </w:rPr>
        <w:t>3.国有资本经营预算拨款收入</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p>
    <w:p>
      <w:pPr>
        <w:spacing w:line="560" w:lineRule="exact"/>
        <w:ind w:left="647" w:leftChars="304" w:firstLine="16" w:firstLineChars="5"/>
        <w:rPr>
          <w:rFonts w:ascii="仿宋_GB2312" w:hAnsi="宋体" w:eastAsia="仿宋_GB2312"/>
          <w:sz w:val="32"/>
          <w:szCs w:val="32"/>
        </w:rPr>
      </w:pPr>
      <w:r>
        <w:rPr>
          <w:rFonts w:hint="eastAsia" w:ascii="仿宋_GB2312" w:hAnsi="宋体" w:eastAsia="仿宋_GB2312"/>
          <w:sz w:val="32"/>
          <w:szCs w:val="32"/>
        </w:rPr>
        <w:t>4.财政专户管理资金收入</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p>
    <w:p>
      <w:pPr>
        <w:spacing w:line="560" w:lineRule="exact"/>
        <w:ind w:firstLine="646" w:firstLineChars="200"/>
        <w:rPr>
          <w:rFonts w:ascii="仿宋_GB2312" w:eastAsia="仿宋_GB2312"/>
          <w:sz w:val="32"/>
          <w:szCs w:val="32"/>
        </w:rPr>
      </w:pPr>
      <w:r>
        <w:rPr>
          <w:rFonts w:hint="eastAsia" w:ascii="仿宋_GB2312" w:eastAsia="仿宋_GB2312" w:cs="仿宋_GB2312"/>
          <w:sz w:val="32"/>
          <w:szCs w:val="32"/>
        </w:rPr>
        <w:t>5.</w:t>
      </w:r>
      <w:r>
        <w:rPr>
          <w:rFonts w:hint="eastAsia" w:ascii="仿宋_GB2312" w:eastAsia="仿宋_GB2312"/>
          <w:sz w:val="32"/>
          <w:szCs w:val="32"/>
        </w:rPr>
        <w:t>单位资金收入</w:t>
      </w:r>
      <w:r>
        <w:rPr>
          <w:rFonts w:hint="eastAsia" w:ascii="仿宋_GB2312" w:hAnsi="宋体"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cs="仿宋_GB2312"/>
          <w:sz w:val="32"/>
          <w:szCs w:val="32"/>
        </w:rPr>
        <w:t>，其中：事业收入</w:t>
      </w: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万元，事业单位经营收入</w:t>
      </w: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万元，上级补助收入</w:t>
      </w: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万元，附属单位上缴收入</w:t>
      </w: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万元，其他收入</w:t>
      </w: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w:t>
      </w:r>
    </w:p>
    <w:p>
      <w:pPr>
        <w:spacing w:line="560" w:lineRule="exact"/>
        <w:ind w:firstLine="646" w:firstLineChars="200"/>
        <w:rPr>
          <w:rFonts w:hint="eastAsia" w:ascii="仿宋_GB2312" w:hAnsi="宋体" w:eastAsia="仿宋_GB2312"/>
          <w:sz w:val="32"/>
          <w:szCs w:val="32"/>
          <w:highlight w:val="none"/>
          <w:lang w:val="en-US" w:eastAsia="zh-CN"/>
        </w:rPr>
      </w:pPr>
      <w:r>
        <w:rPr>
          <w:rFonts w:hint="eastAsia" w:ascii="仿宋_GB2312" w:eastAsia="仿宋_GB2312" w:cs="仿宋_GB2312"/>
          <w:sz w:val="32"/>
          <w:szCs w:val="32"/>
          <w:highlight w:val="none"/>
        </w:rPr>
        <w:t>6.</w:t>
      </w:r>
      <w:r>
        <w:rPr>
          <w:rFonts w:hint="eastAsia" w:ascii="仿宋_GB2312" w:eastAsia="仿宋_GB2312"/>
          <w:color w:val="auto"/>
          <w:sz w:val="32"/>
          <w:szCs w:val="32"/>
          <w:highlight w:val="none"/>
        </w:rPr>
        <w:t>上年结转结余</w:t>
      </w:r>
      <w:r>
        <w:rPr>
          <w:rFonts w:hint="eastAsia" w:ascii="仿宋_GB2312" w:hAnsi="宋体" w:eastAsia="仿宋_GB2312"/>
          <w:color w:val="auto"/>
          <w:sz w:val="32"/>
          <w:szCs w:val="32"/>
          <w:highlight w:val="none"/>
        </w:rPr>
        <w:t>19.8</w:t>
      </w:r>
      <w:r>
        <w:rPr>
          <w:rFonts w:hint="eastAsia" w:ascii="仿宋_GB2312" w:hAnsi="宋体" w:eastAsia="仿宋_GB2312"/>
          <w:color w:val="auto"/>
          <w:sz w:val="32"/>
          <w:szCs w:val="32"/>
          <w:highlight w:val="none"/>
          <w:lang w:val="en-US" w:eastAsia="zh-CN"/>
        </w:rPr>
        <w:t>2</w:t>
      </w:r>
      <w:r>
        <w:rPr>
          <w:rFonts w:hint="eastAsia" w:ascii="仿宋_GB2312" w:eastAsia="仿宋_GB2312"/>
          <w:color w:val="auto"/>
          <w:sz w:val="32"/>
          <w:szCs w:val="32"/>
          <w:highlight w:val="none"/>
        </w:rPr>
        <w:t>万元</w:t>
      </w:r>
      <w:r>
        <w:rPr>
          <w:rFonts w:hint="eastAsia" w:ascii="仿宋_GB2312" w:eastAsia="仿宋_GB2312" w:cs="仿宋_GB2312"/>
          <w:color w:val="auto"/>
          <w:sz w:val="32"/>
          <w:szCs w:val="32"/>
          <w:highlight w:val="none"/>
        </w:rPr>
        <w:t>，其中</w:t>
      </w:r>
      <w:r>
        <w:rPr>
          <w:rFonts w:hint="default" w:ascii="仿宋_GB2312" w:eastAsia="仿宋_GB2312" w:cs="仿宋_GB2312"/>
          <w:color w:val="auto"/>
          <w:sz w:val="32"/>
          <w:szCs w:val="32"/>
          <w:highlight w:val="none"/>
          <w:lang w:val="en"/>
        </w:rPr>
        <w:t>:</w:t>
      </w:r>
      <w:r>
        <w:rPr>
          <w:rFonts w:hint="eastAsia" w:ascii="仿宋_GB2312" w:eastAsia="仿宋_GB2312" w:cs="仿宋_GB2312"/>
          <w:color w:val="auto"/>
          <w:sz w:val="32"/>
          <w:szCs w:val="32"/>
          <w:highlight w:val="none"/>
          <w:lang w:val="en" w:eastAsia="zh-CN"/>
        </w:rPr>
        <w:t>纳入一般公共预算管理的超收非税收入</w:t>
      </w:r>
      <w:r>
        <w:rPr>
          <w:rFonts w:hint="eastAsia" w:ascii="仿宋_GB2312" w:hAnsi="宋体" w:eastAsia="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万元，政府性基金预算超收收入</w:t>
      </w:r>
      <w:r>
        <w:rPr>
          <w:rFonts w:hint="eastAsia" w:ascii="仿宋_GB2312" w:hAnsi="宋体" w:eastAsia="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w:t>
      </w:r>
      <w:r>
        <w:rPr>
          <w:rFonts w:hint="eastAsia" w:asci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财政专户管理资金超收收入</w:t>
      </w:r>
      <w:r>
        <w:rPr>
          <w:rFonts w:hint="eastAsia" w:ascii="仿宋_GB2312" w:hAnsi="宋体" w:eastAsia="仿宋_GB2312"/>
          <w:color w:val="auto"/>
          <w:sz w:val="32"/>
          <w:szCs w:val="32"/>
          <w:highlight w:val="none"/>
          <w:lang w:val="en-US" w:eastAsia="zh-CN"/>
        </w:rPr>
        <w:t>0</w:t>
      </w:r>
      <w:r>
        <w:rPr>
          <w:rFonts w:hint="eastAsia" w:ascii="仿宋_GB2312" w:eastAsia="仿宋_GB2312" w:cs="仿宋_GB2312"/>
          <w:color w:val="auto"/>
          <w:sz w:val="32"/>
          <w:szCs w:val="32"/>
          <w:highlight w:val="none"/>
        </w:rPr>
        <w:t>万元，</w:t>
      </w:r>
      <w:r>
        <w:rPr>
          <w:rFonts w:hint="eastAsia" w:ascii="Times New Roman" w:hAnsi="Times New Roman" w:eastAsia="仿宋_GB2312" w:cs="Times New Roman"/>
          <w:color w:val="auto"/>
          <w:kern w:val="2"/>
          <w:sz w:val="32"/>
          <w:szCs w:val="32"/>
          <w:highlight w:val="none"/>
          <w:lang w:val="en-US" w:eastAsia="zh-CN" w:bidi="ar"/>
        </w:rPr>
        <w:t>单位资金超收收入</w:t>
      </w:r>
      <w:r>
        <w:rPr>
          <w:rFonts w:hint="eastAsia" w:ascii="仿宋_GB2312" w:hAnsi="宋体" w:eastAsia="仿宋_GB2312"/>
          <w:color w:val="auto"/>
          <w:sz w:val="32"/>
          <w:szCs w:val="32"/>
          <w:highlight w:val="none"/>
          <w:lang w:val="en-US" w:eastAsia="zh-CN"/>
        </w:rPr>
        <w:t>0</w:t>
      </w:r>
      <w:r>
        <w:rPr>
          <w:rFonts w:hint="eastAsia" w:ascii="Times New Roman" w:hAnsi="Times New Roman" w:eastAsia="仿宋_GB2312" w:cs="Times New Roman"/>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rPr>
        <w:t>。</w:t>
      </w:r>
    </w:p>
    <w:p>
      <w:pPr>
        <w:spacing w:line="560" w:lineRule="exact"/>
        <w:ind w:left="647" w:leftChars="304" w:firstLine="16" w:firstLineChars="5"/>
        <w:rPr>
          <w:rFonts w:ascii="仿宋_GB2312" w:hAnsi="宋体" w:eastAsia="仿宋_GB2312"/>
          <w:sz w:val="32"/>
          <w:szCs w:val="32"/>
        </w:rPr>
      </w:pPr>
      <w:r>
        <w:rPr>
          <w:rFonts w:hint="eastAsia" w:ascii="楷体" w:hAnsi="楷体" w:eastAsia="楷体"/>
          <w:b/>
          <w:sz w:val="32"/>
          <w:szCs w:val="32"/>
        </w:rPr>
        <w:t>（二）支出预算</w:t>
      </w:r>
      <w:r>
        <w:rPr>
          <w:rFonts w:hint="eastAsia" w:ascii="楷体" w:hAnsi="楷体" w:eastAsia="楷体"/>
          <w:b/>
          <w:sz w:val="32"/>
          <w:szCs w:val="32"/>
          <w:lang w:val="en-US" w:eastAsia="zh-CN"/>
        </w:rPr>
        <w:t>1955.26</w:t>
      </w:r>
      <w:r>
        <w:rPr>
          <w:rFonts w:hint="eastAsia" w:ascii="楷体" w:hAnsi="楷体" w:eastAsia="楷体"/>
          <w:b/>
          <w:sz w:val="32"/>
          <w:szCs w:val="32"/>
        </w:rPr>
        <w:t>万元，</w:t>
      </w:r>
      <w:r>
        <w:rPr>
          <w:rFonts w:hint="eastAsia" w:ascii="仿宋_GB2312" w:hAnsi="宋体" w:eastAsia="仿宋_GB2312"/>
          <w:sz w:val="32"/>
          <w:szCs w:val="32"/>
        </w:rPr>
        <w:t>其中：</w:t>
      </w:r>
    </w:p>
    <w:p>
      <w:pPr>
        <w:autoSpaceDE w:val="0"/>
        <w:spacing w:line="560" w:lineRule="exact"/>
        <w:ind w:firstLine="646" w:firstLineChars="200"/>
        <w:rPr>
          <w:rFonts w:ascii="仿宋_GB2312" w:eastAsia="仿宋_GB2312"/>
          <w:sz w:val="32"/>
          <w:szCs w:val="32"/>
        </w:rPr>
      </w:pPr>
      <w:r>
        <w:rPr>
          <w:rFonts w:hint="eastAsia" w:ascii="仿宋_GB2312" w:eastAsia="仿宋_GB2312"/>
          <w:sz w:val="32"/>
          <w:szCs w:val="32"/>
        </w:rPr>
        <w:t>1.基本支出</w:t>
      </w:r>
      <w:r>
        <w:rPr>
          <w:rFonts w:hint="eastAsia" w:ascii="仿宋_GB2312" w:hAnsi="宋体" w:eastAsia="仿宋_GB2312"/>
          <w:sz w:val="32"/>
          <w:szCs w:val="32"/>
        </w:rPr>
        <w:t>1460.45万元</w:t>
      </w:r>
      <w:r>
        <w:rPr>
          <w:rFonts w:hint="eastAsia" w:ascii="仿宋_GB2312" w:eastAsia="仿宋_GB2312"/>
          <w:sz w:val="32"/>
          <w:szCs w:val="32"/>
        </w:rPr>
        <w:t>；</w:t>
      </w:r>
    </w:p>
    <w:p>
      <w:pPr>
        <w:autoSpaceDE w:val="0"/>
        <w:spacing w:line="560" w:lineRule="exact"/>
        <w:ind w:firstLine="646" w:firstLineChars="200"/>
        <w:rPr>
          <w:rFonts w:ascii="仿宋_GB2312" w:eastAsia="仿宋_GB2312"/>
          <w:sz w:val="32"/>
          <w:szCs w:val="32"/>
        </w:rPr>
      </w:pPr>
      <w:r>
        <w:rPr>
          <w:rFonts w:hint="eastAsia" w:ascii="仿宋_GB2312" w:eastAsia="仿宋_GB2312"/>
          <w:sz w:val="32"/>
          <w:szCs w:val="32"/>
        </w:rPr>
        <w:t>2.项目支出</w:t>
      </w:r>
      <w:r>
        <w:rPr>
          <w:rFonts w:hint="eastAsia" w:ascii="仿宋_GB2312" w:hAnsi="宋体" w:eastAsia="仿宋_GB2312"/>
          <w:sz w:val="32"/>
          <w:szCs w:val="32"/>
        </w:rPr>
        <w:t>494.8</w:t>
      </w:r>
      <w:r>
        <w:rPr>
          <w:rFonts w:hint="eastAsia" w:ascii="仿宋_GB2312" w:hAnsi="宋体" w:eastAsia="仿宋_GB2312"/>
          <w:sz w:val="32"/>
          <w:szCs w:val="32"/>
          <w:lang w:val="en-US" w:eastAsia="zh-CN"/>
        </w:rPr>
        <w:t>1</w:t>
      </w:r>
      <w:r>
        <w:rPr>
          <w:rFonts w:hint="eastAsia" w:ascii="仿宋_GB2312" w:eastAsia="仿宋_GB2312"/>
          <w:sz w:val="32"/>
          <w:szCs w:val="32"/>
        </w:rPr>
        <w:t>万元。</w:t>
      </w:r>
    </w:p>
    <w:p>
      <w:pPr>
        <w:spacing w:line="560" w:lineRule="exact"/>
        <w:ind w:firstLine="646" w:firstLineChars="200"/>
        <w:jc w:val="distribute"/>
        <w:rPr>
          <w:rFonts w:ascii="仿宋_GB2312" w:eastAsia="仿宋_GB2312" w:cs="仿宋_GB2312"/>
          <w:sz w:val="32"/>
          <w:szCs w:val="32"/>
        </w:rPr>
      </w:pPr>
      <w:r>
        <w:rPr>
          <w:rFonts w:hint="eastAsia" w:ascii="仿宋_GB2312" w:eastAsia="仿宋_GB2312" w:cs="仿宋_GB2312"/>
          <w:sz w:val="32"/>
          <w:szCs w:val="32"/>
        </w:rPr>
        <w:t>在支出预算中债务支出</w:t>
      </w: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万元；政府采购支出</w:t>
      </w:r>
    </w:p>
    <w:p>
      <w:pPr>
        <w:spacing w:line="560" w:lineRule="exact"/>
        <w:rPr>
          <w:rFonts w:ascii="仿宋_GB2312" w:eastAsia="仿宋_GB2312" w:cs="仿宋_GB2312"/>
          <w:sz w:val="32"/>
          <w:szCs w:val="32"/>
        </w:rPr>
      </w:pP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万元；政府购买服务支出</w:t>
      </w:r>
      <w:r>
        <w:rPr>
          <w:rFonts w:hint="eastAsia" w:ascii="仿宋_GB2312" w:hAnsi="宋体" w:eastAsia="仿宋_GB2312"/>
          <w:sz w:val="32"/>
          <w:szCs w:val="32"/>
          <w:lang w:val="en-US" w:eastAsia="zh-CN"/>
        </w:rPr>
        <w:t>0</w:t>
      </w:r>
      <w:r>
        <w:rPr>
          <w:rFonts w:hint="eastAsia" w:ascii="仿宋_GB2312" w:eastAsia="仿宋_GB2312" w:cs="仿宋_GB2312"/>
          <w:sz w:val="32"/>
          <w:szCs w:val="32"/>
        </w:rPr>
        <w:t>万元；纳入预算绩效管理的特定目标类</w:t>
      </w:r>
      <w:r>
        <w:rPr>
          <w:rFonts w:hint="eastAsia" w:ascii="仿宋_GB2312" w:eastAsia="仿宋_GB2312" w:cs="仿宋_GB2312"/>
          <w:sz w:val="32"/>
          <w:szCs w:val="32"/>
          <w:lang w:eastAsia="zh-CN"/>
        </w:rPr>
        <w:t>和其他运转类</w:t>
      </w:r>
      <w:r>
        <w:rPr>
          <w:rFonts w:hint="eastAsia" w:ascii="仿宋_GB2312" w:eastAsia="仿宋_GB2312" w:cs="仿宋_GB2312"/>
          <w:sz w:val="32"/>
          <w:szCs w:val="32"/>
        </w:rPr>
        <w:t>项目共</w:t>
      </w:r>
      <w:r>
        <w:rPr>
          <w:rFonts w:hint="eastAsia" w:ascii="仿宋_GB2312" w:hAnsi="宋体" w:eastAsia="仿宋_GB2312"/>
          <w:sz w:val="32"/>
          <w:szCs w:val="32"/>
          <w:lang w:val="en-US" w:eastAsia="zh-CN"/>
        </w:rPr>
        <w:t>5</w:t>
      </w:r>
      <w:r>
        <w:rPr>
          <w:rFonts w:hint="eastAsia" w:ascii="仿宋_GB2312" w:eastAsia="仿宋_GB2312" w:cs="仿宋_GB2312"/>
          <w:sz w:val="32"/>
          <w:szCs w:val="32"/>
        </w:rPr>
        <w:t>个，涉及资金</w:t>
      </w:r>
      <w:r>
        <w:rPr>
          <w:rFonts w:hint="eastAsia" w:ascii="仿宋_GB2312" w:hAnsi="宋体" w:eastAsia="仿宋_GB2312"/>
          <w:sz w:val="32"/>
          <w:szCs w:val="32"/>
          <w:lang w:val="en-US" w:eastAsia="zh-CN"/>
        </w:rPr>
        <w:t>474.99</w:t>
      </w:r>
      <w:r>
        <w:rPr>
          <w:rFonts w:hint="eastAsia" w:ascii="仿宋_GB2312" w:eastAsia="仿宋_GB2312" w:cs="仿宋_GB2312"/>
          <w:sz w:val="32"/>
          <w:szCs w:val="32"/>
        </w:rPr>
        <w:t xml:space="preserve">万元。 </w:t>
      </w:r>
    </w:p>
    <w:p>
      <w:pPr>
        <w:spacing w:line="560" w:lineRule="exact"/>
        <w:ind w:firstLine="646" w:firstLineChars="200"/>
        <w:rPr>
          <w:rFonts w:hint="eastAsia" w:ascii="仿宋_GB2312" w:eastAsia="仿宋_GB2312" w:cs="仿宋_GB2312"/>
          <w:sz w:val="32"/>
          <w:szCs w:val="32"/>
        </w:rPr>
      </w:pPr>
      <w:r>
        <w:rPr>
          <w:rFonts w:hint="eastAsia" w:ascii="黑体" w:hAnsi="黑体" w:eastAsia="黑体"/>
          <w:sz w:val="32"/>
          <w:szCs w:val="32"/>
          <w:lang w:val="en-US" w:eastAsia="zh-CN"/>
        </w:rPr>
        <w:t>2026年</w:t>
      </w:r>
      <w:r>
        <w:rPr>
          <w:rFonts w:hint="eastAsia" w:ascii="黑体" w:hAnsi="黑体" w:eastAsia="黑体"/>
          <w:sz w:val="32"/>
          <w:szCs w:val="32"/>
        </w:rPr>
        <w:t>预算收支比</w:t>
      </w:r>
      <w:r>
        <w:rPr>
          <w:rFonts w:hint="eastAsia" w:ascii="黑体" w:hAnsi="黑体" w:eastAsia="黑体"/>
          <w:sz w:val="32"/>
          <w:szCs w:val="32"/>
          <w:lang w:eastAsia="zh-CN"/>
        </w:rPr>
        <w:t>上</w:t>
      </w:r>
      <w:r>
        <w:rPr>
          <w:rFonts w:hint="eastAsia" w:ascii="黑体" w:hAnsi="黑体" w:eastAsia="黑体"/>
          <w:sz w:val="32"/>
          <w:szCs w:val="32"/>
        </w:rPr>
        <w:t>年增加</w:t>
      </w:r>
      <w:r>
        <w:rPr>
          <w:rFonts w:hint="eastAsia" w:ascii="黑体" w:hAnsi="黑体" w:eastAsia="黑体"/>
          <w:sz w:val="32"/>
          <w:szCs w:val="32"/>
          <w:lang w:val="en-US" w:eastAsia="zh-CN"/>
        </w:rPr>
        <w:t>185.79</w:t>
      </w:r>
      <w:r>
        <w:rPr>
          <w:rFonts w:hint="eastAsia" w:ascii="黑体" w:hAnsi="黑体" w:eastAsia="黑体"/>
          <w:sz w:val="32"/>
          <w:szCs w:val="32"/>
        </w:rPr>
        <w:t>万元，增减变化的主要原因为</w:t>
      </w:r>
      <w:r>
        <w:rPr>
          <w:rFonts w:hint="eastAsia" w:ascii="黑体" w:hAnsi="黑体" w:eastAsia="黑体"/>
          <w:sz w:val="32"/>
          <w:szCs w:val="32"/>
          <w:lang w:val="en-US" w:eastAsia="zh-CN"/>
        </w:rPr>
        <w:t>未完工</w:t>
      </w:r>
      <w:bookmarkStart w:id="0" w:name="_GoBack"/>
      <w:bookmarkEnd w:id="0"/>
      <w:r>
        <w:rPr>
          <w:rFonts w:hint="eastAsia" w:ascii="黑体" w:hAnsi="黑体" w:eastAsia="黑体"/>
          <w:sz w:val="32"/>
          <w:szCs w:val="32"/>
          <w:lang w:val="en-US" w:eastAsia="zh-CN"/>
        </w:rPr>
        <w:t>项目尾款结转今年继续使用。</w:t>
      </w:r>
    </w:p>
    <w:p>
      <w:pPr>
        <w:spacing w:line="560" w:lineRule="exact"/>
        <w:ind w:firstLine="646" w:firstLineChars="200"/>
        <w:rPr>
          <w:rFonts w:ascii="黑体" w:hAnsi="黑体" w:eastAsia="黑体"/>
          <w:sz w:val="32"/>
          <w:szCs w:val="32"/>
        </w:rPr>
      </w:pPr>
      <w:r>
        <w:rPr>
          <w:rFonts w:hint="eastAsia" w:ascii="黑体" w:hAnsi="黑体" w:eastAsia="黑体"/>
          <w:sz w:val="32"/>
          <w:szCs w:val="32"/>
        </w:rPr>
        <w:t>二、部门管理专项资金情况</w:t>
      </w:r>
    </w:p>
    <w:p>
      <w:pPr>
        <w:spacing w:line="560" w:lineRule="exact"/>
        <w:ind w:firstLine="646"/>
        <w:rPr>
          <w:rFonts w:ascii="黑体" w:hAnsi="黑体" w:eastAsia="黑体" w:cs="黑体"/>
          <w:spacing w:val="-2"/>
          <w:kern w:val="0"/>
          <w:sz w:val="32"/>
          <w:szCs w:val="32"/>
          <w:highlight w:val="green"/>
        </w:rPr>
      </w:pPr>
      <w:r>
        <w:rPr>
          <w:rFonts w:hint="eastAsia" w:ascii="仿宋_GB2312" w:hAnsi="宋体" w:eastAsia="仿宋_GB2312"/>
          <w:sz w:val="32"/>
          <w:szCs w:val="32"/>
          <w:lang w:val="en-US" w:eastAsia="zh-CN"/>
        </w:rPr>
        <w:t>2026年</w:t>
      </w:r>
      <w:r>
        <w:rPr>
          <w:rFonts w:hint="eastAsia" w:ascii="仿宋_GB2312" w:hAnsi="宋体" w:eastAsia="仿宋_GB2312"/>
          <w:sz w:val="32"/>
          <w:szCs w:val="32"/>
        </w:rPr>
        <w:t>，</w:t>
      </w:r>
      <w:r>
        <w:rPr>
          <w:rFonts w:hint="eastAsia" w:ascii="仿宋_GB2312" w:hAnsi="宋体" w:eastAsia="仿宋_GB2312"/>
          <w:sz w:val="32"/>
          <w:szCs w:val="32"/>
          <w:lang w:eastAsia="zh-CN"/>
        </w:rPr>
        <w:t>葫芦岛市连山区人民检察院</w:t>
      </w:r>
      <w:r>
        <w:rPr>
          <w:rFonts w:hint="eastAsia" w:ascii="仿宋_GB2312" w:hAnsi="宋体" w:eastAsia="仿宋_GB2312"/>
          <w:sz w:val="32"/>
          <w:szCs w:val="32"/>
        </w:rPr>
        <w:t>管理专项资金共</w:t>
      </w:r>
      <w:r>
        <w:rPr>
          <w:rFonts w:hint="eastAsia" w:ascii="仿宋_GB2312" w:hAnsi="宋体" w:eastAsia="仿宋_GB2312"/>
          <w:sz w:val="32"/>
          <w:szCs w:val="32"/>
          <w:lang w:val="en-US" w:eastAsia="zh-CN"/>
        </w:rPr>
        <w:t>0</w:t>
      </w:r>
      <w:r>
        <w:rPr>
          <w:rFonts w:hint="eastAsia" w:ascii="仿宋_GB2312" w:hAnsi="宋体" w:eastAsia="仿宋_GB2312"/>
          <w:sz w:val="32"/>
          <w:szCs w:val="32"/>
        </w:rPr>
        <w:t>个，</w:t>
      </w:r>
      <w:r>
        <w:rPr>
          <w:rFonts w:hint="eastAsia" w:ascii="仿宋_GB2312" w:hAnsi="仿宋_GB2312" w:eastAsia="仿宋_GB2312"/>
          <w:spacing w:val="-2"/>
          <w:kern w:val="0"/>
          <w:sz w:val="32"/>
          <w:szCs w:val="32"/>
        </w:rPr>
        <w:t>涉及资金</w:t>
      </w:r>
      <w:r>
        <w:rPr>
          <w:rFonts w:hint="eastAsia" w:ascii="仿宋_GB2312" w:hAnsi="宋体" w:eastAsia="仿宋_GB2312"/>
          <w:sz w:val="32"/>
          <w:szCs w:val="32"/>
          <w:lang w:val="en-US" w:eastAsia="zh-CN"/>
        </w:rPr>
        <w:t>0</w:t>
      </w:r>
      <w:r>
        <w:rPr>
          <w:rFonts w:hint="eastAsia" w:ascii="仿宋_GB2312" w:hAnsi="仿宋_GB2312" w:eastAsia="仿宋_GB2312"/>
          <w:spacing w:val="-2"/>
          <w:kern w:val="0"/>
          <w:sz w:val="32"/>
          <w:szCs w:val="32"/>
        </w:rPr>
        <w:t>万元。</w:t>
      </w:r>
    </w:p>
    <w:p>
      <w:pPr>
        <w:spacing w:line="560" w:lineRule="exact"/>
        <w:ind w:firstLine="645"/>
        <w:rPr>
          <w:rFonts w:ascii="黑体" w:hAnsi="宋体" w:eastAsia="黑体"/>
          <w:sz w:val="32"/>
          <w:szCs w:val="32"/>
        </w:rPr>
      </w:pPr>
      <w:r>
        <w:rPr>
          <w:rFonts w:hint="eastAsia" w:ascii="黑体" w:hAnsi="宋体" w:eastAsia="黑体"/>
          <w:sz w:val="32"/>
          <w:szCs w:val="32"/>
        </w:rPr>
        <w:t>三、机关运行经费安排情况</w:t>
      </w:r>
      <w:r>
        <w:commentReference w:id="2"/>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lang w:val="en-US" w:eastAsia="zh-CN"/>
        </w:rPr>
        <w:t>2026年</w:t>
      </w:r>
      <w:r>
        <w:rPr>
          <w:rFonts w:hint="eastAsia" w:ascii="仿宋_GB2312" w:hAnsi="宋体" w:eastAsia="仿宋_GB2312"/>
          <w:sz w:val="32"/>
          <w:szCs w:val="32"/>
          <w:lang w:eastAsia="zh-CN"/>
        </w:rPr>
        <w:t>葫芦岛市连山区人民检察院</w:t>
      </w:r>
      <w:r>
        <w:rPr>
          <w:rFonts w:hint="eastAsia" w:ascii="仿宋_GB2312" w:hAnsi="宋体" w:eastAsia="仿宋_GB2312"/>
          <w:sz w:val="32"/>
          <w:szCs w:val="32"/>
        </w:rPr>
        <w:t>机关运行经费预算为</w:t>
      </w:r>
      <w:r>
        <w:rPr>
          <w:rFonts w:hint="eastAsia" w:ascii="仿宋_GB2312" w:hAnsi="宋体" w:eastAsia="仿宋_GB2312"/>
          <w:sz w:val="32"/>
          <w:szCs w:val="32"/>
          <w:lang w:val="en-US" w:eastAsia="zh-CN"/>
        </w:rPr>
        <w:t>137.03</w:t>
      </w:r>
      <w:r>
        <w:rPr>
          <w:rFonts w:hint="eastAsia" w:ascii="仿宋_GB2312" w:hAnsi="宋体" w:eastAsia="仿宋_GB2312"/>
          <w:sz w:val="32"/>
          <w:szCs w:val="32"/>
        </w:rPr>
        <w:t>万元，主要包括</w:t>
      </w:r>
      <w:r>
        <w:rPr>
          <w:rFonts w:hint="eastAsia" w:ascii="仿宋_GB2312" w:hAnsi="宋体" w:eastAsia="仿宋_GB2312"/>
          <w:color w:val="000000" w:themeColor="text1"/>
          <w:sz w:val="32"/>
          <w:szCs w:val="32"/>
          <w:lang w:val="en-US" w:eastAsia="zh-CN"/>
          <w14:textFill>
            <w14:solidFill>
              <w14:schemeClr w14:val="tx1"/>
            </w14:solidFill>
          </w14:textFill>
        </w:rPr>
        <w:t>办公费、水费、电费、邮电费、物业管理费、维修（护）费、劳务费、工会经费、其他交通费用和其他商品和服务支出</w:t>
      </w:r>
      <w:r>
        <w:rPr>
          <w:rFonts w:hint="eastAsia" w:ascii="仿宋_GB2312" w:hAnsi="宋体" w:eastAsia="仿宋_GB2312"/>
          <w:sz w:val="32"/>
          <w:szCs w:val="32"/>
        </w:rPr>
        <w:t>。</w:t>
      </w:r>
    </w:p>
    <w:p>
      <w:pPr>
        <w:spacing w:line="560" w:lineRule="exact"/>
        <w:ind w:firstLine="660"/>
        <w:rPr>
          <w:rFonts w:ascii="黑体" w:hAnsi="黑体" w:eastAsia="黑体"/>
          <w:sz w:val="32"/>
          <w:szCs w:val="32"/>
        </w:rPr>
      </w:pPr>
      <w:r>
        <w:rPr>
          <w:rFonts w:hint="eastAsia" w:ascii="黑体" w:hAnsi="黑体" w:eastAsia="黑体"/>
          <w:sz w:val="32"/>
          <w:szCs w:val="32"/>
        </w:rPr>
        <w:t>四、政府采购情况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6" w:firstLineChars="200"/>
        <w:jc w:val="both"/>
        <w:textAlignment w:val="auto"/>
        <w:outlineLvl w:val="9"/>
        <w:rPr>
          <w:rFonts w:hint="eastAsia" w:ascii="仿宋_GB2312" w:hAnsi="仿宋_GB2312" w:eastAsia="宋体" w:cs="仿宋_GB2312"/>
          <w:sz w:val="32"/>
          <w:szCs w:val="32"/>
          <w:lang w:val="en-US" w:eastAsia="zh-CN"/>
        </w:rPr>
      </w:pPr>
      <w:r>
        <w:rPr>
          <w:rFonts w:hint="eastAsia" w:ascii="仿宋_GB2312" w:hAnsi="仿宋_GB2312" w:eastAsia="仿宋_GB2312" w:cs="仿宋_GB2312"/>
          <w:sz w:val="32"/>
          <w:szCs w:val="32"/>
          <w:lang w:val="en-US" w:eastAsia="zh-CN"/>
        </w:rPr>
        <w:t>2026年</w:t>
      </w:r>
      <w:r>
        <w:rPr>
          <w:rFonts w:hint="eastAsia" w:ascii="仿宋_GB2312" w:hAnsi="宋体" w:eastAsia="仿宋_GB2312"/>
          <w:sz w:val="32"/>
          <w:szCs w:val="32"/>
          <w:lang w:eastAsia="zh-CN"/>
        </w:rPr>
        <w:t>葫芦岛市连山区人民检察院</w:t>
      </w:r>
      <w:r>
        <w:rPr>
          <w:rFonts w:hint="eastAsia" w:ascii="仿宋_GB2312" w:hAnsi="仿宋_GB2312" w:eastAsia="仿宋_GB2312" w:cs="仿宋_GB2312"/>
          <w:sz w:val="32"/>
          <w:szCs w:val="32"/>
          <w:lang w:val="en-US" w:eastAsia="zh-CN"/>
        </w:rPr>
        <w:t>安排政府采购预算0万元，具体为货物0万元，服务0万元，工程0万元；预留面向中小企业采购份额0万元，其中预留给小微企业0万元</w:t>
      </w:r>
      <w:r>
        <w:rPr>
          <w:rFonts w:hint="eastAsia"/>
          <w:lang w:eastAsia="zh-CN"/>
        </w:rPr>
        <w:t>。</w:t>
      </w:r>
    </w:p>
    <w:p>
      <w:pPr>
        <w:spacing w:line="560" w:lineRule="exact"/>
        <w:ind w:firstLine="660"/>
        <w:rPr>
          <w:rFonts w:ascii="黑体" w:hAnsi="黑体" w:eastAsia="黑体"/>
          <w:sz w:val="32"/>
          <w:szCs w:val="32"/>
        </w:rPr>
      </w:pPr>
      <w:r>
        <w:rPr>
          <w:rFonts w:hint="eastAsia" w:ascii="黑体" w:hAnsi="黑体" w:eastAsia="黑体"/>
          <w:sz w:val="32"/>
          <w:szCs w:val="32"/>
        </w:rPr>
        <w:t>五、“三公”经费预算情况</w:t>
      </w:r>
    </w:p>
    <w:p>
      <w:pPr>
        <w:spacing w:line="560" w:lineRule="exact"/>
        <w:ind w:firstLine="660"/>
        <w:rPr>
          <w:rFonts w:ascii="仿宋_GB2312" w:eastAsia="仿宋_GB2312"/>
          <w:sz w:val="32"/>
          <w:szCs w:val="32"/>
        </w:rPr>
      </w:pPr>
      <w:r>
        <w:rPr>
          <w:rFonts w:hint="eastAsia" w:ascii="仿宋_GB2312" w:eastAsia="仿宋_GB2312"/>
          <w:sz w:val="32"/>
          <w:szCs w:val="32"/>
          <w:lang w:val="en-US" w:eastAsia="zh-CN"/>
        </w:rPr>
        <w:t>2026年</w:t>
      </w:r>
      <w:r>
        <w:rPr>
          <w:rFonts w:hint="eastAsia" w:ascii="仿宋_GB2312" w:eastAsia="仿宋_GB2312"/>
          <w:sz w:val="32"/>
          <w:szCs w:val="32"/>
        </w:rPr>
        <w:t>，</w:t>
      </w:r>
      <w:r>
        <w:rPr>
          <w:rFonts w:hint="eastAsia" w:ascii="仿宋_GB2312" w:hAnsi="宋体" w:eastAsia="仿宋_GB2312"/>
          <w:sz w:val="32"/>
          <w:szCs w:val="32"/>
          <w:lang w:eastAsia="zh-CN"/>
        </w:rPr>
        <w:t>葫芦岛市连山区人民检察院</w:t>
      </w:r>
      <w:r>
        <w:rPr>
          <w:rFonts w:hint="eastAsia" w:ascii="仿宋_GB2312" w:eastAsia="仿宋_GB2312"/>
          <w:sz w:val="32"/>
          <w:szCs w:val="32"/>
          <w:lang w:eastAsia="zh-CN"/>
        </w:rPr>
        <w:t>财政拨款</w:t>
      </w:r>
      <w:r>
        <w:rPr>
          <w:rFonts w:hint="eastAsia" w:ascii="仿宋_GB2312" w:eastAsia="仿宋_GB2312"/>
          <w:sz w:val="32"/>
          <w:szCs w:val="32"/>
        </w:rPr>
        <w:t>预算安排的 “三公”经费预算为</w:t>
      </w:r>
      <w:r>
        <w:rPr>
          <w:rFonts w:hint="eastAsia" w:ascii="仿宋_GB2312" w:eastAsia="仿宋_GB2312"/>
          <w:sz w:val="32"/>
          <w:szCs w:val="32"/>
          <w:lang w:val="en-US" w:eastAsia="zh-CN"/>
        </w:rPr>
        <w:t>50</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年减少</w:t>
      </w:r>
      <w:r>
        <w:rPr>
          <w:rFonts w:hint="eastAsia" w:ascii="仿宋_GB2312" w:eastAsia="仿宋_GB2312"/>
          <w:sz w:val="32"/>
          <w:szCs w:val="32"/>
          <w:lang w:val="en-US" w:eastAsia="zh-CN"/>
        </w:rPr>
        <w:t>10</w:t>
      </w:r>
      <w:r>
        <w:rPr>
          <w:rFonts w:hint="eastAsia" w:ascii="仿宋_GB2312" w:eastAsia="仿宋_GB2312"/>
          <w:sz w:val="32"/>
          <w:szCs w:val="32"/>
        </w:rPr>
        <w:t>万元，下降</w:t>
      </w:r>
      <w:r>
        <w:rPr>
          <w:rFonts w:hint="eastAsia" w:ascii="仿宋_GB2312" w:eastAsia="仿宋_GB2312"/>
          <w:sz w:val="32"/>
          <w:szCs w:val="32"/>
          <w:lang w:val="en-US" w:eastAsia="zh-CN"/>
        </w:rPr>
        <w:t>16.67</w:t>
      </w:r>
      <w:r>
        <w:rPr>
          <w:rFonts w:hint="eastAsia" w:ascii="仿宋_GB2312" w:eastAsia="仿宋_GB2312"/>
          <w:sz w:val="32"/>
          <w:szCs w:val="32"/>
        </w:rPr>
        <w:t>%。其中：</w:t>
      </w:r>
    </w:p>
    <w:p>
      <w:pPr>
        <w:spacing w:line="560" w:lineRule="exact"/>
        <w:ind w:firstLine="660"/>
        <w:rPr>
          <w:rFonts w:ascii="仿宋_GB2312" w:eastAsia="仿宋_GB2312"/>
          <w:sz w:val="32"/>
          <w:szCs w:val="32"/>
        </w:rPr>
      </w:pPr>
      <w:r>
        <w:rPr>
          <w:rFonts w:hint="eastAsia" w:ascii="仿宋_GB2312" w:eastAsia="仿宋_GB2312"/>
          <w:sz w:val="32"/>
          <w:szCs w:val="32"/>
        </w:rPr>
        <w:t>1.因公出国（境）费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与上年持平</w:t>
      </w:r>
      <w:r>
        <w:rPr>
          <w:rFonts w:hint="eastAsia" w:ascii="仿宋_GB2312" w:eastAsia="仿宋_GB2312"/>
          <w:sz w:val="32"/>
          <w:szCs w:val="32"/>
        </w:rPr>
        <w:t>。</w:t>
      </w:r>
    </w:p>
    <w:p>
      <w:pPr>
        <w:spacing w:line="560" w:lineRule="exact"/>
        <w:ind w:firstLine="660"/>
        <w:rPr>
          <w:rFonts w:ascii="仿宋_GB2312" w:eastAsia="仿宋_GB2312"/>
          <w:sz w:val="32"/>
          <w:szCs w:val="32"/>
        </w:rPr>
      </w:pPr>
      <w:r>
        <w:rPr>
          <w:rFonts w:hint="eastAsia" w:ascii="仿宋_GB2312" w:eastAsia="仿宋_GB2312"/>
          <w:sz w:val="32"/>
          <w:szCs w:val="32"/>
        </w:rPr>
        <w:t>2.公务接待费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与上年持平</w:t>
      </w:r>
      <w:r>
        <w:rPr>
          <w:rFonts w:hint="eastAsia" w:ascii="仿宋_GB2312" w:eastAsia="仿宋_GB2312"/>
          <w:sz w:val="32"/>
          <w:szCs w:val="32"/>
        </w:rPr>
        <w:t>。</w:t>
      </w:r>
    </w:p>
    <w:p>
      <w:pPr>
        <w:spacing w:line="560" w:lineRule="exact"/>
        <w:ind w:firstLine="660"/>
        <w:rPr>
          <w:rFonts w:hint="eastAsia" w:ascii="仿宋_GB2312" w:eastAsia="仿宋_GB2312"/>
          <w:sz w:val="32"/>
          <w:szCs w:val="32"/>
          <w:lang w:val="en-US" w:eastAsia="zh-CN"/>
        </w:rPr>
      </w:pPr>
      <w:r>
        <w:rPr>
          <w:rFonts w:hint="eastAsia" w:ascii="仿宋_GB2312" w:eastAsia="仿宋_GB2312"/>
          <w:sz w:val="32"/>
          <w:szCs w:val="32"/>
        </w:rPr>
        <w:t>3.公务用车购置及运行费</w:t>
      </w:r>
      <w:r>
        <w:rPr>
          <w:rFonts w:hint="eastAsia" w:ascii="仿宋_GB2312" w:eastAsia="仿宋_GB2312"/>
          <w:sz w:val="32"/>
          <w:szCs w:val="32"/>
          <w:lang w:val="en-US" w:eastAsia="zh-CN"/>
        </w:rPr>
        <w:t>50</w:t>
      </w:r>
      <w:r>
        <w:rPr>
          <w:rFonts w:hint="eastAsia" w:ascii="仿宋_GB2312" w:eastAsia="仿宋_GB2312"/>
          <w:sz w:val="32"/>
          <w:szCs w:val="32"/>
        </w:rPr>
        <w:t>万元（其中：公务用车购置费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与上年持平</w:t>
      </w:r>
      <w:r>
        <w:rPr>
          <w:rFonts w:hint="eastAsia" w:ascii="仿宋_GB2312" w:eastAsia="仿宋_GB2312"/>
          <w:sz w:val="32"/>
          <w:szCs w:val="32"/>
        </w:rPr>
        <w:t>；公务用车运行费</w:t>
      </w:r>
      <w:r>
        <w:rPr>
          <w:rFonts w:hint="eastAsia" w:ascii="仿宋_GB2312" w:eastAsia="仿宋_GB2312"/>
          <w:sz w:val="32"/>
          <w:szCs w:val="32"/>
          <w:lang w:val="en-US" w:eastAsia="zh-CN"/>
        </w:rPr>
        <w:t>50</w:t>
      </w:r>
      <w:r>
        <w:rPr>
          <w:rFonts w:hint="eastAsia" w:ascii="仿宋_GB2312" w:eastAsia="仿宋_GB2312"/>
          <w:sz w:val="32"/>
          <w:szCs w:val="32"/>
        </w:rPr>
        <w:t>万元，比</w:t>
      </w:r>
      <w:r>
        <w:rPr>
          <w:rFonts w:hint="eastAsia" w:ascii="仿宋_GB2312" w:eastAsia="仿宋_GB2312"/>
          <w:sz w:val="32"/>
          <w:szCs w:val="32"/>
          <w:lang w:eastAsia="zh-CN"/>
        </w:rPr>
        <w:t>上</w:t>
      </w:r>
      <w:r>
        <w:rPr>
          <w:rFonts w:hint="eastAsia" w:ascii="仿宋_GB2312" w:eastAsia="仿宋_GB2312"/>
          <w:sz w:val="32"/>
          <w:szCs w:val="32"/>
        </w:rPr>
        <w:t>年减少</w:t>
      </w:r>
      <w:r>
        <w:rPr>
          <w:rFonts w:hint="eastAsia" w:ascii="仿宋_GB2312" w:eastAsia="仿宋_GB2312"/>
          <w:sz w:val="32"/>
          <w:szCs w:val="32"/>
          <w:lang w:val="en-US" w:eastAsia="zh-CN"/>
        </w:rPr>
        <w:t>10</w:t>
      </w:r>
      <w:r>
        <w:rPr>
          <w:rFonts w:hint="eastAsia" w:ascii="仿宋_GB2312" w:eastAsia="仿宋_GB2312"/>
          <w:sz w:val="32"/>
          <w:szCs w:val="32"/>
        </w:rPr>
        <w:t>万元，下降</w:t>
      </w:r>
      <w:r>
        <w:rPr>
          <w:rFonts w:hint="eastAsia" w:ascii="仿宋_GB2312" w:eastAsia="仿宋_GB2312"/>
          <w:sz w:val="32"/>
          <w:szCs w:val="32"/>
          <w:lang w:val="en-US" w:eastAsia="zh-CN"/>
        </w:rPr>
        <w:t>16.67</w:t>
      </w:r>
      <w:r>
        <w:rPr>
          <w:rFonts w:hint="eastAsia" w:ascii="仿宋_GB2312" w:eastAsia="仿宋_GB2312"/>
          <w:sz w:val="32"/>
          <w:szCs w:val="32"/>
        </w:rPr>
        <w:t>%），比</w:t>
      </w:r>
      <w:r>
        <w:rPr>
          <w:rFonts w:hint="eastAsia" w:ascii="仿宋_GB2312" w:eastAsia="仿宋_GB2312"/>
          <w:sz w:val="32"/>
          <w:szCs w:val="32"/>
          <w:lang w:eastAsia="zh-CN"/>
        </w:rPr>
        <w:t>上</w:t>
      </w:r>
      <w:r>
        <w:rPr>
          <w:rFonts w:hint="eastAsia" w:ascii="仿宋_GB2312" w:eastAsia="仿宋_GB2312"/>
          <w:sz w:val="32"/>
          <w:szCs w:val="32"/>
        </w:rPr>
        <w:t>年减少</w:t>
      </w:r>
      <w:r>
        <w:rPr>
          <w:rFonts w:hint="eastAsia" w:ascii="仿宋_GB2312" w:eastAsia="仿宋_GB2312"/>
          <w:sz w:val="32"/>
          <w:szCs w:val="32"/>
          <w:lang w:val="en-US" w:eastAsia="zh-CN"/>
        </w:rPr>
        <w:t>10</w:t>
      </w:r>
      <w:r>
        <w:rPr>
          <w:rFonts w:hint="eastAsia" w:ascii="仿宋_GB2312" w:eastAsia="仿宋_GB2312"/>
          <w:sz w:val="32"/>
          <w:szCs w:val="32"/>
        </w:rPr>
        <w:t>万元，下降</w:t>
      </w:r>
      <w:r>
        <w:rPr>
          <w:rFonts w:hint="eastAsia" w:ascii="仿宋_GB2312" w:eastAsia="仿宋_GB2312"/>
          <w:sz w:val="32"/>
          <w:szCs w:val="32"/>
          <w:lang w:val="en-US" w:eastAsia="zh-CN"/>
        </w:rPr>
        <w:t>16.67</w:t>
      </w:r>
      <w:r>
        <w:rPr>
          <w:rFonts w:hint="eastAsia" w:ascii="仿宋_GB2312" w:eastAsia="仿宋_GB2312"/>
          <w:sz w:val="32"/>
          <w:szCs w:val="32"/>
        </w:rPr>
        <w:t>%。</w:t>
      </w: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主要原因是</w:t>
      </w:r>
      <w:r>
        <w:rPr>
          <w:rFonts w:hint="eastAsia" w:ascii="仿宋_GB2312" w:eastAsia="仿宋_GB2312"/>
          <w:sz w:val="32"/>
          <w:szCs w:val="32"/>
          <w:lang w:val="en-US" w:eastAsia="zh-CN"/>
        </w:rPr>
        <w:t>厉行节约，落实过“紧日子”要求，压减</w:t>
      </w:r>
      <w:r>
        <w:rPr>
          <w:rFonts w:hint="eastAsia" w:ascii="仿宋_GB2312" w:eastAsia="仿宋_GB2312"/>
          <w:sz w:val="32"/>
          <w:szCs w:val="32"/>
        </w:rPr>
        <w:t>公务用车运行费</w:t>
      </w:r>
      <w:r>
        <w:rPr>
          <w:rFonts w:hint="eastAsia" w:ascii="仿宋_GB2312" w:eastAsia="仿宋_GB2312"/>
          <w:sz w:val="32"/>
          <w:szCs w:val="32"/>
          <w:lang w:eastAsia="zh-CN"/>
        </w:rPr>
        <w:t>支出</w:t>
      </w:r>
      <w:r>
        <w:rPr>
          <w:rFonts w:hint="eastAsia" w:ascii="仿宋_GB2312" w:eastAsia="仿宋_GB2312"/>
          <w:sz w:val="32"/>
          <w:szCs w:val="32"/>
          <w:lang w:val="en-US" w:eastAsia="zh-CN"/>
        </w:rPr>
        <w:t>。</w:t>
      </w:r>
    </w:p>
    <w:p>
      <w:pPr>
        <w:pStyle w:val="2"/>
      </w:pPr>
    </w:p>
    <w:tbl>
      <w:tblPr>
        <w:tblStyle w:val="7"/>
        <w:tblW w:w="8835" w:type="dxa"/>
        <w:tblInd w:w="93" w:type="dxa"/>
        <w:tblLayout w:type="fixed"/>
        <w:tblCellMar>
          <w:top w:w="15" w:type="dxa"/>
          <w:left w:w="108" w:type="dxa"/>
          <w:bottom w:w="15" w:type="dxa"/>
          <w:right w:w="108" w:type="dxa"/>
        </w:tblCellMar>
      </w:tblPr>
      <w:tblGrid>
        <w:gridCol w:w="3423"/>
        <w:gridCol w:w="2026"/>
        <w:gridCol w:w="803"/>
        <w:gridCol w:w="2583"/>
      </w:tblGrid>
      <w:tr>
        <w:tblPrEx>
          <w:tblLayout w:type="fixed"/>
          <w:tblCellMar>
            <w:top w:w="15" w:type="dxa"/>
            <w:left w:w="108" w:type="dxa"/>
            <w:bottom w:w="15" w:type="dxa"/>
            <w:right w:w="108" w:type="dxa"/>
          </w:tblCellMar>
        </w:tblPrEx>
        <w:trPr>
          <w:trHeight w:val="570" w:hRule="atLeast"/>
        </w:trPr>
        <w:tc>
          <w:tcPr>
            <w:tcW w:w="8835" w:type="dxa"/>
            <w:gridSpan w:val="4"/>
            <w:vAlign w:val="center"/>
          </w:tcPr>
          <w:p>
            <w:pPr>
              <w:widowControl/>
              <w:spacing w:line="560" w:lineRule="exact"/>
              <w:jc w:val="center"/>
              <w:rPr>
                <w:rFonts w:ascii="宋体" w:hAnsi="宋体" w:cs="宋体"/>
                <w:b/>
                <w:bCs/>
                <w:color w:val="000000"/>
                <w:kern w:val="0"/>
                <w:sz w:val="30"/>
                <w:szCs w:val="30"/>
              </w:rPr>
            </w:pPr>
            <w:r>
              <w:rPr>
                <w:rFonts w:hint="eastAsia" w:ascii="宋体" w:hAnsi="宋体" w:cs="宋体"/>
                <w:b/>
                <w:bCs/>
                <w:color w:val="000000"/>
                <w:kern w:val="0"/>
                <w:sz w:val="30"/>
                <w:szCs w:val="30"/>
                <w:lang w:eastAsia="zh-CN"/>
              </w:rPr>
              <w:t>财政拨款</w:t>
            </w:r>
            <w:r>
              <w:rPr>
                <w:rFonts w:hint="eastAsia" w:ascii="宋体" w:hAnsi="宋体" w:cs="宋体"/>
                <w:b/>
                <w:bCs/>
                <w:color w:val="000000"/>
                <w:kern w:val="0"/>
                <w:sz w:val="30"/>
                <w:szCs w:val="30"/>
              </w:rPr>
              <w:t>预算“三公”经费支出表</w:t>
            </w:r>
          </w:p>
        </w:tc>
      </w:tr>
      <w:tr>
        <w:tblPrEx>
          <w:tblLayout w:type="fixed"/>
          <w:tblCellMar>
            <w:top w:w="15" w:type="dxa"/>
            <w:left w:w="108" w:type="dxa"/>
            <w:bottom w:w="15" w:type="dxa"/>
            <w:right w:w="108" w:type="dxa"/>
          </w:tblCellMar>
        </w:tblPrEx>
        <w:trPr>
          <w:trHeight w:val="480" w:hRule="atLeast"/>
        </w:trPr>
        <w:tc>
          <w:tcPr>
            <w:tcW w:w="3423" w:type="dxa"/>
            <w:vAlign w:val="center"/>
          </w:tcPr>
          <w:p>
            <w:pPr>
              <w:widowControl/>
              <w:spacing w:line="560" w:lineRule="exact"/>
              <w:jc w:val="left"/>
              <w:rPr>
                <w:rFonts w:ascii="宋体" w:hAnsi="宋体" w:cs="宋体"/>
                <w:color w:val="000000"/>
                <w:kern w:val="0"/>
                <w:sz w:val="24"/>
              </w:rPr>
            </w:pPr>
          </w:p>
        </w:tc>
        <w:tc>
          <w:tcPr>
            <w:tcW w:w="2026" w:type="dxa"/>
            <w:vAlign w:val="center"/>
          </w:tcPr>
          <w:p>
            <w:pPr>
              <w:widowControl/>
              <w:spacing w:line="560" w:lineRule="exact"/>
              <w:jc w:val="left"/>
              <w:rPr>
                <w:rFonts w:ascii="宋体" w:hAnsi="宋体" w:cs="宋体"/>
                <w:color w:val="000000"/>
                <w:kern w:val="0"/>
                <w:sz w:val="24"/>
              </w:rPr>
            </w:pPr>
          </w:p>
        </w:tc>
        <w:tc>
          <w:tcPr>
            <w:tcW w:w="3386" w:type="dxa"/>
            <w:gridSpan w:val="2"/>
            <w:vAlign w:val="center"/>
          </w:tcPr>
          <w:p>
            <w:pPr>
              <w:widowControl/>
              <w:spacing w:line="560" w:lineRule="exact"/>
              <w:jc w:val="right"/>
              <w:rPr>
                <w:rFonts w:ascii="宋体" w:hAnsi="宋体" w:cs="宋体"/>
                <w:color w:val="000000"/>
                <w:kern w:val="0"/>
                <w:sz w:val="24"/>
              </w:rPr>
            </w:pPr>
            <w:r>
              <w:rPr>
                <w:rFonts w:hint="eastAsia" w:ascii="宋体" w:hAnsi="宋体" w:cs="宋体"/>
                <w:color w:val="000000"/>
                <w:kern w:val="0"/>
                <w:sz w:val="24"/>
              </w:rPr>
              <w:t>单位：万元</w:t>
            </w:r>
          </w:p>
        </w:tc>
      </w:tr>
      <w:tr>
        <w:tblPrEx>
          <w:tblLayout w:type="fixed"/>
          <w:tblCellMar>
            <w:top w:w="15" w:type="dxa"/>
            <w:left w:w="108" w:type="dxa"/>
            <w:bottom w:w="15" w:type="dxa"/>
            <w:right w:w="108" w:type="dxa"/>
          </w:tblCellMar>
        </w:tblPrEx>
        <w:trPr>
          <w:trHeight w:val="420" w:hRule="atLeast"/>
        </w:trPr>
        <w:tc>
          <w:tcPr>
            <w:tcW w:w="342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rPr>
              <w:t>项目</w:t>
            </w:r>
          </w:p>
        </w:tc>
        <w:tc>
          <w:tcPr>
            <w:tcW w:w="541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rPr>
              <w:t>金额</w:t>
            </w:r>
          </w:p>
        </w:tc>
      </w:tr>
      <w:tr>
        <w:tblPrEx>
          <w:tblLayout w:type="fixed"/>
          <w:tblCellMar>
            <w:top w:w="15" w:type="dxa"/>
            <w:left w:w="108" w:type="dxa"/>
            <w:bottom w:w="15" w:type="dxa"/>
            <w:right w:w="108" w:type="dxa"/>
          </w:tblCellMar>
        </w:tblPrEx>
        <w:trPr>
          <w:trHeight w:val="420" w:hRule="atLeast"/>
        </w:trPr>
        <w:tc>
          <w:tcPr>
            <w:tcW w:w="342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b/>
                <w:bCs/>
                <w:color w:val="000000"/>
                <w:kern w:val="0"/>
                <w:sz w:val="24"/>
              </w:rPr>
            </w:pP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lang w:val="en-US" w:eastAsia="zh-CN"/>
              </w:rPr>
              <w:t>2025</w:t>
            </w:r>
            <w:r>
              <w:rPr>
                <w:rFonts w:hint="eastAsia" w:ascii="宋体" w:hAnsi="宋体" w:cs="宋体"/>
                <w:b/>
                <w:bCs/>
                <w:color w:val="000000"/>
                <w:kern w:val="0"/>
                <w:sz w:val="24"/>
              </w:rPr>
              <w:t>年</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lang w:val="en-US" w:eastAsia="zh-CN"/>
              </w:rPr>
              <w:t>2026年</w:t>
            </w:r>
          </w:p>
        </w:tc>
      </w:tr>
      <w:tr>
        <w:tblPrEx>
          <w:tblLayout w:type="fixed"/>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宋体" w:hAnsi="宋体" w:cs="宋体"/>
                <w:b/>
                <w:bCs/>
                <w:color w:val="000000"/>
                <w:kern w:val="0"/>
                <w:sz w:val="24"/>
              </w:rPr>
            </w:pPr>
            <w:r>
              <w:rPr>
                <w:rFonts w:hint="eastAsia" w:ascii="宋体" w:hAnsi="宋体" w:cs="宋体"/>
                <w:b/>
                <w:bCs/>
                <w:color w:val="000000"/>
                <w:kern w:val="0"/>
                <w:sz w:val="24"/>
              </w:rPr>
              <w:t>合计</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60</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50</w:t>
            </w:r>
          </w:p>
        </w:tc>
      </w:tr>
      <w:tr>
        <w:tblPrEx>
          <w:tblLayout w:type="fixed"/>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1.因公出国（境）费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r>
      <w:tr>
        <w:tblPrEx>
          <w:tblLayout w:type="fixed"/>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2.公务接待费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r>
      <w:tr>
        <w:tblPrEx>
          <w:tblLayout w:type="fixed"/>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3.公务用车购置及运行费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60</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50</w:t>
            </w:r>
          </w:p>
        </w:tc>
      </w:tr>
      <w:tr>
        <w:tblPrEx>
          <w:tblLayout w:type="fixed"/>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 xml:space="preserve"> 其中：公务用车购置费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0</w:t>
            </w:r>
          </w:p>
        </w:tc>
      </w:tr>
      <w:tr>
        <w:tblPrEx>
          <w:tblLayout w:type="fixed"/>
          <w:tblCellMar>
            <w:top w:w="15" w:type="dxa"/>
            <w:left w:w="108" w:type="dxa"/>
            <w:bottom w:w="15" w:type="dxa"/>
            <w:right w:w="108" w:type="dxa"/>
          </w:tblCellMar>
        </w:tblPrEx>
        <w:trPr>
          <w:trHeight w:val="420" w:hRule="atLeast"/>
        </w:trPr>
        <w:tc>
          <w:tcPr>
            <w:tcW w:w="342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宋体" w:hAnsi="宋体" w:cs="宋体"/>
                <w:color w:val="000000"/>
                <w:kern w:val="0"/>
                <w:sz w:val="24"/>
              </w:rPr>
            </w:pPr>
            <w:r>
              <w:rPr>
                <w:rFonts w:hint="eastAsia" w:ascii="宋体" w:hAnsi="宋体" w:cs="宋体"/>
                <w:color w:val="000000"/>
                <w:kern w:val="0"/>
                <w:sz w:val="24"/>
              </w:rPr>
              <w:t xml:space="preserve">       公务用车运行费</w:t>
            </w:r>
          </w:p>
        </w:tc>
        <w:tc>
          <w:tcPr>
            <w:tcW w:w="28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60</w:t>
            </w:r>
          </w:p>
        </w:tc>
        <w:tc>
          <w:tcPr>
            <w:tcW w:w="258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default" w:ascii="宋体" w:hAnsi="宋体" w:eastAsia="宋体" w:cs="宋体"/>
                <w:b w:val="0"/>
                <w:bCs w:val="0"/>
                <w:color w:val="000000"/>
                <w:kern w:val="0"/>
                <w:sz w:val="24"/>
                <w:lang w:val="en-US" w:eastAsia="zh-CN"/>
              </w:rPr>
            </w:pPr>
            <w:r>
              <w:rPr>
                <w:rFonts w:hint="eastAsia" w:ascii="宋体" w:hAnsi="宋体" w:cs="宋体"/>
                <w:b w:val="0"/>
                <w:bCs w:val="0"/>
                <w:color w:val="000000"/>
                <w:kern w:val="0"/>
                <w:sz w:val="24"/>
                <w:lang w:val="en-US" w:eastAsia="zh-CN"/>
              </w:rPr>
              <w:t>50</w:t>
            </w:r>
          </w:p>
        </w:tc>
      </w:tr>
    </w:tbl>
    <w:p>
      <w:pPr>
        <w:spacing w:line="560" w:lineRule="exact"/>
        <w:ind w:firstLine="646" w:firstLineChars="20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六、委托业务费预算情况</w:t>
      </w:r>
    </w:p>
    <w:p>
      <w:pPr>
        <w:spacing w:line="560" w:lineRule="exact"/>
        <w:ind w:firstLine="646" w:firstLineChars="200"/>
        <w:rPr>
          <w:rFonts w:hint="eastAsia" w:ascii="黑体" w:hAnsi="黑体" w:eastAsia="黑体"/>
          <w:sz w:val="32"/>
          <w:szCs w:val="32"/>
          <w:highlight w:val="none"/>
        </w:rPr>
      </w:pPr>
      <w:r>
        <w:rPr>
          <w:rFonts w:hint="eastAsia" w:ascii="仿宋_GB2312" w:hAnsi="宋体" w:eastAsia="仿宋_GB2312"/>
          <w:sz w:val="32"/>
          <w:szCs w:val="32"/>
          <w:highlight w:val="none"/>
          <w:lang w:eastAsia="zh-CN"/>
        </w:rPr>
        <w:t>葫芦岛市连山区人民检察院</w:t>
      </w:r>
      <w:r>
        <w:rPr>
          <w:rFonts w:hint="eastAsia" w:ascii="仿宋_GB2312" w:hAnsi="宋体" w:eastAsia="仿宋_GB2312"/>
          <w:sz w:val="32"/>
          <w:szCs w:val="32"/>
          <w:highlight w:val="none"/>
          <w:lang w:val="en-US" w:eastAsia="zh-CN"/>
        </w:rPr>
        <w:t>2026年初预算安排委托业务费13.84万元，</w:t>
      </w:r>
      <w:r>
        <w:rPr>
          <w:rFonts w:hint="eastAsia" w:ascii="仿宋_GB2312" w:hAnsi="宋体" w:eastAsia="仿宋_GB2312"/>
          <w:color w:val="auto"/>
          <w:sz w:val="32"/>
          <w:szCs w:val="32"/>
          <w:highlight w:val="none"/>
          <w:lang w:eastAsia="zh-CN"/>
        </w:rPr>
        <w:t>主要用于委托外单位办理审计、内控、测评、档案管理等业务而支付的费用。</w:t>
      </w:r>
    </w:p>
    <w:p>
      <w:pPr>
        <w:spacing w:line="560" w:lineRule="exact"/>
        <w:ind w:firstLine="646" w:firstLineChars="200"/>
        <w:rPr>
          <w:rFonts w:ascii="仿宋_GB2312" w:hAnsi="宋体" w:eastAsia="仿宋_GB2312"/>
          <w:sz w:val="32"/>
          <w:szCs w:val="32"/>
        </w:rPr>
      </w:pPr>
      <w:r>
        <w:rPr>
          <w:rFonts w:hint="eastAsia" w:ascii="黑体" w:hAnsi="黑体" w:eastAsia="黑体"/>
          <w:sz w:val="32"/>
          <w:szCs w:val="32"/>
          <w:lang w:eastAsia="zh-CN"/>
        </w:rPr>
        <w:t>七</w:t>
      </w:r>
      <w:r>
        <w:rPr>
          <w:rFonts w:hint="eastAsia" w:ascii="黑体" w:hAnsi="黑体" w:eastAsia="黑体"/>
          <w:sz w:val="32"/>
          <w:szCs w:val="32"/>
        </w:rPr>
        <w:t>、国有资产占用情况</w:t>
      </w:r>
    </w:p>
    <w:p>
      <w:pPr>
        <w:spacing w:line="560" w:lineRule="exact"/>
        <w:ind w:firstLine="646" w:firstLineChars="200"/>
        <w:rPr>
          <w:rFonts w:ascii="仿宋_GB2312" w:hAnsi="宋体" w:eastAsia="仿宋_GB2312"/>
          <w:sz w:val="32"/>
          <w:szCs w:val="32"/>
        </w:rPr>
      </w:pPr>
      <w:r>
        <w:rPr>
          <w:rFonts w:hint="eastAsia" w:ascii="仿宋_GB2312" w:hAnsi="宋体" w:eastAsia="仿宋_GB2312"/>
          <w:sz w:val="32"/>
          <w:szCs w:val="32"/>
          <w:lang w:eastAsia="zh-CN"/>
        </w:rPr>
        <w:t>葫芦岛市连山区人民检察院</w:t>
      </w:r>
      <w:r>
        <w:rPr>
          <w:rFonts w:hint="eastAsia" w:ascii="仿宋_GB2312" w:hAnsi="宋体" w:eastAsia="仿宋_GB2312"/>
          <w:sz w:val="32"/>
          <w:szCs w:val="32"/>
          <w:lang w:val="en-US" w:eastAsia="zh-CN"/>
        </w:rPr>
        <w:t>2026年</w:t>
      </w:r>
      <w:r>
        <w:rPr>
          <w:rFonts w:hint="eastAsia" w:ascii="仿宋_GB2312" w:hAnsi="宋体" w:eastAsia="仿宋_GB2312"/>
          <w:color w:val="auto"/>
          <w:sz w:val="32"/>
          <w:szCs w:val="32"/>
        </w:rPr>
        <w:t>年初预算购置</w:t>
      </w:r>
      <w:r>
        <w:rPr>
          <w:rFonts w:hint="eastAsia" w:ascii="仿宋_GB2312" w:hAnsi="宋体" w:eastAsia="仿宋_GB2312"/>
          <w:color w:val="auto"/>
          <w:sz w:val="32"/>
          <w:szCs w:val="32"/>
          <w:lang w:eastAsia="zh-CN"/>
        </w:rPr>
        <w:t>固定资产</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eastAsia="zh-CN"/>
        </w:rPr>
        <w:t>。其中：</w:t>
      </w:r>
      <w:r>
        <w:rPr>
          <w:rFonts w:hint="eastAsia" w:ascii="仿宋_GB2312" w:hAnsi="宋体" w:eastAsia="仿宋_GB2312"/>
          <w:color w:val="auto"/>
          <w:sz w:val="32"/>
          <w:szCs w:val="32"/>
        </w:rPr>
        <w:t>车辆</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台，金额</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万元，单位价值100万元以上的设备</w:t>
      </w:r>
      <w:r>
        <w:rPr>
          <w:rFonts w:hint="eastAsia" w:ascii="仿宋_GB2312" w:hAnsi="宋体" w:eastAsia="仿宋_GB2312"/>
          <w:color w:val="auto"/>
          <w:sz w:val="32"/>
          <w:szCs w:val="32"/>
          <w:lang w:val="en-US" w:eastAsia="zh-CN"/>
        </w:rPr>
        <w:t>0</w:t>
      </w:r>
      <w:r>
        <w:rPr>
          <w:rFonts w:hint="eastAsia" w:ascii="仿宋_GB2312" w:hAnsi="宋体" w:eastAsia="仿宋_GB2312"/>
          <w:color w:val="auto"/>
          <w:sz w:val="32"/>
          <w:szCs w:val="32"/>
        </w:rPr>
        <w:t>台</w:t>
      </w:r>
      <w:r>
        <w:rPr>
          <w:rFonts w:hint="eastAsia" w:ascii="仿宋_GB2312" w:hAnsi="宋体" w:eastAsia="仿宋_GB2312"/>
          <w:sz w:val="32"/>
          <w:szCs w:val="32"/>
        </w:rPr>
        <w:t>。</w:t>
      </w:r>
    </w:p>
    <w:p>
      <w:pPr>
        <w:tabs>
          <w:tab w:val="center" w:pos="4156"/>
        </w:tabs>
        <w:spacing w:line="560" w:lineRule="exact"/>
        <w:ind w:firstLine="646" w:firstLineChars="200"/>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、预算绩效目标情况</w:t>
      </w:r>
      <w:r>
        <w:commentReference w:id="3"/>
      </w:r>
      <w:r>
        <w:rPr>
          <w:rFonts w:hint="eastAsia"/>
          <w:lang w:eastAsia="zh-CN"/>
        </w:rPr>
        <w:tab/>
      </w:r>
    </w:p>
    <w:p>
      <w:pPr>
        <w:spacing w:line="560" w:lineRule="exact"/>
        <w:ind w:firstLine="632" w:firstLineChars="196"/>
        <w:rPr>
          <w:rFonts w:hint="eastAsia" w:ascii="宋体" w:hAnsi="宋体"/>
          <w:b/>
          <w:sz w:val="36"/>
          <w:szCs w:val="36"/>
        </w:rPr>
      </w:pPr>
      <w:r>
        <w:rPr>
          <w:rFonts w:hint="eastAsia" w:ascii="仿宋_GB2312" w:hAnsi="宋体" w:eastAsia="仿宋_GB2312"/>
          <w:sz w:val="32"/>
          <w:szCs w:val="32"/>
        </w:rPr>
        <w:t>根据预算绩效管理要求，</w:t>
      </w:r>
      <w:r>
        <w:rPr>
          <w:rFonts w:hint="eastAsia" w:ascii="仿宋_GB2312" w:hAnsi="宋体" w:eastAsia="仿宋_GB2312"/>
          <w:sz w:val="32"/>
          <w:szCs w:val="32"/>
          <w:lang w:eastAsia="zh-CN"/>
        </w:rPr>
        <w:t>葫芦岛市连山区人民检察院</w:t>
      </w:r>
      <w:r>
        <w:rPr>
          <w:rFonts w:hint="eastAsia" w:ascii="仿宋_GB2312" w:hAnsi="宋体" w:eastAsia="仿宋_GB2312"/>
          <w:sz w:val="32"/>
          <w:szCs w:val="32"/>
          <w:lang w:val="en-US" w:eastAsia="zh-CN"/>
        </w:rPr>
        <w:t>2026年</w:t>
      </w:r>
      <w:r>
        <w:rPr>
          <w:rFonts w:hint="eastAsia" w:ascii="仿宋_GB2312" w:hAnsi="宋体" w:eastAsia="仿宋_GB2312"/>
          <w:sz w:val="32"/>
          <w:szCs w:val="32"/>
        </w:rPr>
        <w:t>应编制部门（单位）整体绩效目标共</w:t>
      </w:r>
      <w:r>
        <w:rPr>
          <w:rFonts w:hint="eastAsia" w:ascii="仿宋_GB2312" w:hAnsi="宋体" w:eastAsia="仿宋_GB2312"/>
          <w:sz w:val="32"/>
          <w:szCs w:val="32"/>
          <w:lang w:val="en-US" w:eastAsia="zh-CN"/>
        </w:rPr>
        <w:t>1</w:t>
      </w:r>
      <w:r>
        <w:rPr>
          <w:rFonts w:hint="eastAsia" w:ascii="仿宋_GB2312" w:hAnsi="宋体" w:eastAsia="仿宋_GB2312"/>
          <w:sz w:val="32"/>
          <w:szCs w:val="32"/>
        </w:rPr>
        <w:t>个，实际编制部门（单位）整体绩效目标共</w:t>
      </w:r>
      <w:r>
        <w:rPr>
          <w:rFonts w:hint="eastAsia" w:ascii="仿宋_GB2312" w:hAnsi="宋体" w:eastAsia="仿宋_GB2312"/>
          <w:sz w:val="32"/>
          <w:szCs w:val="32"/>
          <w:lang w:val="en-US" w:eastAsia="zh-CN"/>
        </w:rPr>
        <w:t>1</w:t>
      </w:r>
      <w:r>
        <w:rPr>
          <w:rFonts w:hint="eastAsia" w:ascii="仿宋_GB2312" w:hAnsi="宋体" w:eastAsia="仿宋_GB2312"/>
          <w:sz w:val="32"/>
          <w:szCs w:val="32"/>
        </w:rPr>
        <w:t>个，编制部门（单位）整体绩效目标覆盖率（实际编制绩效目标的数量/应编制绩效目标的数量）为</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r>
        <w:rPr>
          <w:rFonts w:hint="eastAsia" w:ascii="仿宋_GB2312" w:hAnsi="宋体" w:eastAsia="仿宋_GB2312"/>
          <w:sz w:val="32"/>
          <w:szCs w:val="32"/>
          <w:lang w:val="en-US" w:eastAsia="zh-CN"/>
        </w:rPr>
        <w:t>2026年</w:t>
      </w:r>
      <w:r>
        <w:rPr>
          <w:rFonts w:hint="eastAsia" w:ascii="仿宋_GB2312" w:hAnsi="宋体" w:eastAsia="仿宋_GB2312"/>
          <w:sz w:val="32"/>
          <w:szCs w:val="32"/>
        </w:rPr>
        <w:t>应编制绩效目标的特定目标类</w:t>
      </w:r>
      <w:r>
        <w:rPr>
          <w:rFonts w:hint="eastAsia" w:ascii="仿宋_GB2312" w:hAnsi="宋体" w:eastAsia="仿宋_GB2312"/>
          <w:sz w:val="32"/>
          <w:szCs w:val="32"/>
          <w:lang w:eastAsia="zh-CN"/>
        </w:rPr>
        <w:t>和其他运转类</w:t>
      </w:r>
      <w:r>
        <w:rPr>
          <w:rFonts w:hint="eastAsia" w:ascii="仿宋_GB2312" w:hAnsi="宋体" w:eastAsia="仿宋_GB2312"/>
          <w:sz w:val="32"/>
          <w:szCs w:val="32"/>
        </w:rPr>
        <w:t>项目共</w:t>
      </w:r>
      <w:r>
        <w:rPr>
          <w:rFonts w:hint="eastAsia" w:ascii="仿宋_GB2312" w:hAnsi="宋体" w:eastAsia="仿宋_GB2312"/>
          <w:sz w:val="32"/>
          <w:szCs w:val="32"/>
          <w:lang w:val="en-US" w:eastAsia="zh-CN"/>
        </w:rPr>
        <w:t>5</w:t>
      </w:r>
      <w:r>
        <w:rPr>
          <w:rFonts w:hint="eastAsia" w:ascii="仿宋_GB2312" w:hAnsi="宋体" w:eastAsia="仿宋_GB2312"/>
          <w:sz w:val="32"/>
          <w:szCs w:val="32"/>
        </w:rPr>
        <w:t>个，实际编制绩效目标的特定目标类</w:t>
      </w:r>
      <w:r>
        <w:rPr>
          <w:rFonts w:hint="eastAsia" w:ascii="仿宋_GB2312" w:hAnsi="宋体" w:eastAsia="仿宋_GB2312"/>
          <w:sz w:val="32"/>
          <w:szCs w:val="32"/>
          <w:lang w:eastAsia="zh-CN"/>
        </w:rPr>
        <w:t>和其他运转类</w:t>
      </w:r>
      <w:r>
        <w:rPr>
          <w:rFonts w:hint="eastAsia" w:ascii="仿宋_GB2312" w:hAnsi="宋体" w:eastAsia="仿宋_GB2312"/>
          <w:sz w:val="32"/>
          <w:szCs w:val="32"/>
        </w:rPr>
        <w:t>项目共</w:t>
      </w:r>
      <w:r>
        <w:rPr>
          <w:rFonts w:hint="eastAsia" w:ascii="仿宋_GB2312" w:hAnsi="宋体" w:eastAsia="仿宋_GB2312"/>
          <w:sz w:val="32"/>
          <w:szCs w:val="32"/>
          <w:lang w:val="en-US" w:eastAsia="zh-CN"/>
        </w:rPr>
        <w:t>5</w:t>
      </w:r>
      <w:r>
        <w:rPr>
          <w:rFonts w:hint="eastAsia" w:ascii="仿宋_GB2312" w:hAnsi="宋体" w:eastAsia="仿宋_GB2312"/>
          <w:sz w:val="32"/>
          <w:szCs w:val="32"/>
        </w:rPr>
        <w:t>个，涉及资金</w:t>
      </w:r>
      <w:r>
        <w:rPr>
          <w:rFonts w:hint="eastAsia" w:ascii="仿宋_GB2312" w:hAnsi="宋体" w:eastAsia="仿宋_GB2312"/>
          <w:sz w:val="32"/>
          <w:szCs w:val="32"/>
          <w:lang w:val="en-US" w:eastAsia="zh-CN"/>
        </w:rPr>
        <w:t>474.99</w:t>
      </w:r>
      <w:r>
        <w:rPr>
          <w:rFonts w:hint="eastAsia" w:ascii="仿宋_GB2312" w:hAnsi="宋体" w:eastAsia="仿宋_GB2312"/>
          <w:sz w:val="32"/>
          <w:szCs w:val="32"/>
        </w:rPr>
        <w:t>万元，编制特定目标类</w:t>
      </w:r>
      <w:r>
        <w:rPr>
          <w:rFonts w:hint="eastAsia" w:ascii="仿宋_GB2312" w:hAnsi="宋体" w:eastAsia="仿宋_GB2312"/>
          <w:sz w:val="32"/>
          <w:szCs w:val="32"/>
          <w:lang w:eastAsia="zh-CN"/>
        </w:rPr>
        <w:t>和其他运转类</w:t>
      </w:r>
      <w:r>
        <w:rPr>
          <w:rFonts w:hint="eastAsia" w:ascii="仿宋_GB2312" w:hAnsi="宋体" w:eastAsia="仿宋_GB2312"/>
          <w:sz w:val="32"/>
          <w:szCs w:val="32"/>
        </w:rPr>
        <w:t>绩效目标的项目覆盖率（实际编制绩效目标的数量/应编制绩效目标的数量）为</w:t>
      </w:r>
      <w:r>
        <w:rPr>
          <w:rFonts w:hint="eastAsia" w:ascii="仿宋_GB2312" w:hAnsi="宋体" w:eastAsia="仿宋_GB2312"/>
          <w:sz w:val="32"/>
          <w:szCs w:val="32"/>
          <w:lang w:val="en-US" w:eastAsia="zh-CN"/>
        </w:rPr>
        <w:t>100</w:t>
      </w:r>
      <w:r>
        <w:rPr>
          <w:rFonts w:hint="eastAsia" w:ascii="仿宋_GB2312" w:hAnsi="宋体" w:eastAsia="仿宋_GB2312"/>
          <w:sz w:val="32"/>
          <w:szCs w:val="32"/>
        </w:rPr>
        <w:t>%。</w:t>
      </w:r>
    </w:p>
    <w:p>
      <w:pPr>
        <w:spacing w:line="560" w:lineRule="exact"/>
        <w:jc w:val="center"/>
        <w:rPr>
          <w:rFonts w:hint="eastAsia" w:ascii="宋体" w:hAnsi="宋体"/>
          <w:b/>
          <w:sz w:val="36"/>
          <w:szCs w:val="36"/>
        </w:rPr>
      </w:pPr>
    </w:p>
    <w:p>
      <w:pPr>
        <w:pStyle w:val="2"/>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rPr>
          <w:rFonts w:hint="eastAsia" w:ascii="宋体" w:hAnsi="宋体"/>
          <w:b/>
          <w:sz w:val="36"/>
          <w:szCs w:val="36"/>
        </w:rPr>
      </w:pPr>
    </w:p>
    <w:p>
      <w:pPr>
        <w:pStyle w:val="2"/>
        <w:rPr>
          <w:rFonts w:hint="eastAsia" w:ascii="宋体" w:hAnsi="宋体"/>
          <w:b/>
          <w:sz w:val="36"/>
          <w:szCs w:val="36"/>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560" w:lineRule="exact"/>
        <w:jc w:val="center"/>
        <w:rPr>
          <w:rFonts w:ascii="宋体" w:hAnsi="宋体"/>
          <w:b/>
          <w:sz w:val="36"/>
          <w:szCs w:val="36"/>
        </w:rPr>
      </w:pPr>
      <w:r>
        <w:rPr>
          <w:rFonts w:hint="eastAsia" w:ascii="宋体" w:hAnsi="宋体"/>
          <w:b/>
          <w:sz w:val="36"/>
          <w:szCs w:val="36"/>
        </w:rPr>
        <w:t>第四部分 名词解释</w:t>
      </w:r>
    </w:p>
    <w:p>
      <w:pPr>
        <w:spacing w:line="560" w:lineRule="exact"/>
        <w:jc w:val="center"/>
        <w:rPr>
          <w:rFonts w:ascii="仿宋_GB2312" w:eastAsia="仿宋_GB2312"/>
          <w:sz w:val="32"/>
          <w:szCs w:val="32"/>
        </w:rPr>
      </w:pPr>
    </w:p>
    <w:p>
      <w:pPr>
        <w:spacing w:line="560" w:lineRule="exact"/>
        <w:jc w:val="left"/>
        <w:rPr>
          <w:rFonts w:ascii="仿宋_GB2312" w:hAnsi="仿宋_GB2312" w:eastAsia="仿宋_GB2312" w:cs="仿宋_GB2312"/>
          <w:sz w:val="32"/>
          <w:szCs w:val="32"/>
        </w:rPr>
      </w:pPr>
      <w:r>
        <w:rPr>
          <w:rFonts w:hint="eastAsia" w:ascii="仿宋_GB2312" w:eastAsia="仿宋_GB2312"/>
          <w:b/>
          <w:sz w:val="32"/>
          <w:szCs w:val="32"/>
        </w:rPr>
        <w:t>　</w:t>
      </w:r>
      <w:r>
        <w:rPr>
          <w:rFonts w:hint="eastAsia" w:ascii="仿宋_GB2312" w:eastAsia="仿宋_GB2312"/>
          <w:b/>
          <w:sz w:val="32"/>
          <w:szCs w:val="32"/>
          <w:lang w:val="en-US" w:eastAsia="zh-CN"/>
        </w:rPr>
        <w:t xml:space="preserve">  </w:t>
      </w:r>
      <w:r>
        <w:rPr>
          <w:rFonts w:hint="eastAsia" w:ascii="仿宋_GB2312" w:eastAsia="仿宋_GB2312"/>
          <w:b/>
          <w:sz w:val="32"/>
          <w:szCs w:val="32"/>
        </w:rPr>
        <w:t>1.一般公共预算：</w:t>
      </w:r>
      <w:r>
        <w:rPr>
          <w:rFonts w:hint="eastAsia" w:ascii="仿宋_GB2312" w:hAnsi="仿宋_GB2312" w:eastAsia="仿宋_GB2312" w:cs="仿宋_GB2312"/>
          <w:sz w:val="32"/>
          <w:szCs w:val="32"/>
        </w:rPr>
        <w:t>是对以税收为主体的财政收入，安排用于保障和改善民生、推动经济社会发展、维护国家安全、维持国家机构正常运转等方面的收支预算。</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2.基本支出：</w:t>
      </w:r>
      <w:r>
        <w:rPr>
          <w:rFonts w:hint="eastAsia" w:ascii="仿宋_GB2312" w:eastAsia="仿宋_GB2312"/>
          <w:sz w:val="32"/>
          <w:szCs w:val="32"/>
        </w:rPr>
        <w:t>是为保障机构正常运转、完成日常工作任务而发生的支出，包括人员经费和公用经费。</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3.项目支出：</w:t>
      </w:r>
      <w:r>
        <w:rPr>
          <w:rFonts w:hint="eastAsia" w:ascii="仿宋_GB2312" w:eastAsia="仿宋_GB2312"/>
          <w:sz w:val="32"/>
          <w:szCs w:val="32"/>
        </w:rPr>
        <w:t>指为完成特定工作任务和事业发展目标所发生的支出。</w:t>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4.机关运行经费：</w:t>
      </w:r>
      <w:r>
        <w:rPr>
          <w:rFonts w:hint="eastAsia" w:ascii="仿宋_GB2312" w:eastAsia="仿宋_GB2312"/>
          <w:sz w:val="32"/>
          <w:szCs w:val="32"/>
        </w:rPr>
        <w:t>是指行政机关及参公单位的公用经费，包括办公及印刷费、邮电费、差旅费、会议费、福利费、日常维护费、专用材料及一般设备购置费、办公用房水电费、办公用房取暖费、办公用房物业管理费、办公用车运行维护费以及其他费用。</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5.上年结转：</w:t>
      </w:r>
      <w:r>
        <w:rPr>
          <w:rFonts w:hint="eastAsia" w:ascii="仿宋_GB2312" w:eastAsia="仿宋_GB2312"/>
          <w:sz w:val="32"/>
          <w:szCs w:val="32"/>
        </w:rPr>
        <w:t>指以前年度尚未使用完毕，结转到本年仍按原规定用途继续使用的资金。</w:t>
      </w:r>
    </w:p>
    <w:p>
      <w:pPr>
        <w:spacing w:line="560" w:lineRule="exact"/>
        <w:ind w:firstLine="646" w:firstLineChars="200"/>
        <w:jc w:val="left"/>
        <w:rPr>
          <w:rFonts w:ascii="仿宋_GB2312" w:eastAsia="仿宋_GB2312"/>
          <w:sz w:val="32"/>
          <w:szCs w:val="32"/>
        </w:rPr>
      </w:pPr>
      <w:r>
        <w:rPr>
          <w:rFonts w:hint="eastAsia" w:ascii="仿宋_GB2312" w:eastAsia="仿宋_GB2312"/>
          <w:b/>
          <w:sz w:val="32"/>
          <w:szCs w:val="32"/>
        </w:rPr>
        <w:t>6.“三公”经费：</w:t>
      </w:r>
      <w:r>
        <w:rPr>
          <w:rFonts w:hint="eastAsia" w:ascii="仿宋_GB2312" w:eastAsia="仿宋_GB2312"/>
          <w:sz w:val="32"/>
          <w:szCs w:val="32"/>
        </w:rPr>
        <w:t>指用</w:t>
      </w:r>
      <w:r>
        <w:rPr>
          <w:rFonts w:hint="eastAsia" w:ascii="仿宋_GB2312" w:eastAsia="仿宋_GB2312"/>
          <w:sz w:val="32"/>
          <w:szCs w:val="32"/>
          <w:lang w:eastAsia="zh-CN"/>
        </w:rPr>
        <w:t>财政拨款</w:t>
      </w:r>
      <w:r>
        <w:rPr>
          <w:rFonts w:hint="eastAsia" w:ascii="仿宋_GB2312" w:eastAsia="仿宋_GB2312"/>
          <w:sz w:val="32"/>
          <w:szCs w:val="32"/>
        </w:rPr>
        <w:t>预算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w:t>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7.</w:t>
      </w:r>
      <w:r>
        <w:rPr>
          <w:rFonts w:hint="eastAsia" w:ascii="仿宋_GB2312" w:eastAsia="仿宋_GB2312"/>
          <w:b/>
          <w:sz w:val="32"/>
          <w:szCs w:val="32"/>
          <w:lang w:eastAsia="zh-CN"/>
        </w:rPr>
        <w:t>公共安全支出</w:t>
      </w:r>
      <w:r>
        <w:rPr>
          <w:rFonts w:hint="eastAsia" w:ascii="仿宋_GB2312" w:eastAsia="仿宋_GB2312"/>
          <w:b/>
          <w:sz w:val="32"/>
          <w:szCs w:val="32"/>
        </w:rPr>
        <w:t>（类）</w:t>
      </w:r>
      <w:r>
        <w:rPr>
          <w:rFonts w:hint="eastAsia" w:ascii="仿宋_GB2312" w:eastAsia="仿宋_GB2312"/>
          <w:b/>
          <w:sz w:val="32"/>
          <w:szCs w:val="32"/>
          <w:lang w:val="en-US" w:eastAsia="zh-CN"/>
        </w:rPr>
        <w:t>检察</w:t>
      </w:r>
      <w:r>
        <w:rPr>
          <w:rFonts w:hint="eastAsia" w:ascii="仿宋_GB2312" w:eastAsia="仿宋_GB2312"/>
          <w:b/>
          <w:sz w:val="32"/>
          <w:szCs w:val="32"/>
        </w:rPr>
        <w:t>（款）行政运行（项）：</w:t>
      </w:r>
      <w:r>
        <w:rPr>
          <w:rFonts w:hint="eastAsia" w:ascii="仿宋_GB2312" w:eastAsia="仿宋_GB2312"/>
          <w:sz w:val="32"/>
          <w:szCs w:val="32"/>
        </w:rPr>
        <w:t>反映行政单位（包括实行公务员管理的事业单位）的基本支出。</w:t>
      </w:r>
    </w:p>
    <w:p>
      <w:pPr>
        <w:spacing w:line="560" w:lineRule="exact"/>
        <w:ind w:firstLine="646" w:firstLineChars="200"/>
        <w:jc w:val="left"/>
        <w:rPr>
          <w:rFonts w:ascii="仿宋_GB2312" w:eastAsia="仿宋_GB2312"/>
          <w:b/>
          <w:sz w:val="32"/>
          <w:szCs w:val="32"/>
        </w:rPr>
      </w:pPr>
      <w:r>
        <w:rPr>
          <w:rFonts w:hint="eastAsia" w:ascii="仿宋_GB2312" w:eastAsia="仿宋_GB2312"/>
          <w:b/>
          <w:sz w:val="32"/>
          <w:szCs w:val="32"/>
        </w:rPr>
        <w:t>8.</w:t>
      </w:r>
      <w:r>
        <w:rPr>
          <w:rFonts w:hint="eastAsia" w:ascii="仿宋_GB2312" w:eastAsia="仿宋_GB2312"/>
          <w:b/>
          <w:sz w:val="32"/>
          <w:szCs w:val="32"/>
          <w:lang w:eastAsia="zh-CN"/>
        </w:rPr>
        <w:t>公共安全支出</w:t>
      </w:r>
      <w:r>
        <w:rPr>
          <w:rFonts w:hint="eastAsia" w:ascii="仿宋_GB2312" w:eastAsia="仿宋_GB2312"/>
          <w:b/>
          <w:sz w:val="32"/>
          <w:szCs w:val="32"/>
        </w:rPr>
        <w:t>（类）</w:t>
      </w:r>
      <w:r>
        <w:rPr>
          <w:rFonts w:hint="eastAsia" w:ascii="仿宋_GB2312" w:eastAsia="仿宋_GB2312"/>
          <w:b/>
          <w:sz w:val="32"/>
          <w:szCs w:val="32"/>
          <w:lang w:val="en-US" w:eastAsia="zh-CN"/>
        </w:rPr>
        <w:t>检察</w:t>
      </w:r>
      <w:r>
        <w:rPr>
          <w:rFonts w:hint="eastAsia" w:ascii="仿宋_GB2312" w:eastAsia="仿宋_GB2312"/>
          <w:b/>
          <w:sz w:val="32"/>
          <w:szCs w:val="32"/>
        </w:rPr>
        <w:t>（款）一般行政管理事务（项）：</w:t>
      </w:r>
      <w:r>
        <w:rPr>
          <w:rFonts w:hint="eastAsia" w:ascii="仿宋_GB2312" w:eastAsia="仿宋_GB2312"/>
          <w:sz w:val="32"/>
          <w:szCs w:val="32"/>
        </w:rPr>
        <w:t>反映行政单位（包括实行公务员管理的事业单位）未单独设置项级科目的其他项目支出。</w:t>
      </w:r>
    </w:p>
    <w:p>
      <w:pPr>
        <w:pStyle w:val="2"/>
        <w:ind w:firstLine="646" w:firstLineChars="200"/>
        <w:jc w:val="both"/>
        <w:rPr>
          <w:rFonts w:hint="eastAsia" w:ascii="仿宋_GB2312" w:eastAsia="仿宋_GB2312"/>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w:t>
      </w:r>
      <w:r>
        <w:rPr>
          <w:rFonts w:hint="eastAsia" w:ascii="仿宋_GB2312" w:eastAsia="仿宋_GB2312"/>
          <w:b/>
          <w:sz w:val="32"/>
          <w:szCs w:val="32"/>
          <w:lang w:eastAsia="zh-CN"/>
        </w:rPr>
        <w:t>公共安全支出</w:t>
      </w:r>
      <w:r>
        <w:rPr>
          <w:rFonts w:hint="eastAsia" w:ascii="仿宋_GB2312" w:eastAsia="仿宋_GB2312"/>
          <w:b/>
          <w:sz w:val="32"/>
          <w:szCs w:val="32"/>
        </w:rPr>
        <w:t>（类）</w:t>
      </w:r>
      <w:r>
        <w:rPr>
          <w:rFonts w:hint="eastAsia" w:ascii="仿宋_GB2312" w:eastAsia="仿宋_GB2312"/>
          <w:b/>
          <w:sz w:val="32"/>
          <w:szCs w:val="32"/>
          <w:lang w:val="en-US" w:eastAsia="zh-CN"/>
        </w:rPr>
        <w:t>检察</w:t>
      </w:r>
      <w:r>
        <w:rPr>
          <w:rFonts w:hint="eastAsia" w:ascii="仿宋_GB2312" w:eastAsia="仿宋_GB2312"/>
          <w:b/>
          <w:sz w:val="32"/>
          <w:szCs w:val="32"/>
        </w:rPr>
        <w:t>（款）其他</w:t>
      </w:r>
      <w:r>
        <w:rPr>
          <w:rFonts w:hint="eastAsia" w:ascii="仿宋_GB2312" w:eastAsia="仿宋_GB2312"/>
          <w:b/>
          <w:sz w:val="32"/>
          <w:szCs w:val="32"/>
          <w:lang w:val="en-US" w:eastAsia="zh-CN"/>
        </w:rPr>
        <w:t>检察</w:t>
      </w:r>
      <w:r>
        <w:rPr>
          <w:rFonts w:hint="eastAsia" w:ascii="仿宋_GB2312" w:eastAsia="仿宋_GB2312"/>
          <w:b/>
          <w:sz w:val="32"/>
          <w:szCs w:val="32"/>
        </w:rPr>
        <w:t>支出（项）：</w:t>
      </w:r>
      <w:r>
        <w:rPr>
          <w:rFonts w:hint="eastAsia" w:ascii="仿宋_GB2312" w:eastAsia="仿宋_GB2312"/>
          <w:sz w:val="32"/>
          <w:szCs w:val="32"/>
        </w:rPr>
        <w:t>反映除上述项目以外其他</w:t>
      </w:r>
      <w:r>
        <w:rPr>
          <w:rFonts w:hint="eastAsia" w:ascii="仿宋_GB2312" w:eastAsia="仿宋_GB2312"/>
          <w:sz w:val="32"/>
          <w:szCs w:val="32"/>
          <w:lang w:eastAsia="zh-CN"/>
        </w:rPr>
        <w:t>用于</w:t>
      </w:r>
      <w:r>
        <w:rPr>
          <w:rFonts w:hint="eastAsia" w:ascii="仿宋_GB2312" w:eastAsia="仿宋_GB2312"/>
          <w:b w:val="0"/>
          <w:bCs/>
          <w:sz w:val="32"/>
          <w:szCs w:val="32"/>
          <w:lang w:val="en-US" w:eastAsia="zh-CN"/>
        </w:rPr>
        <w:t>检察</w:t>
      </w:r>
      <w:r>
        <w:rPr>
          <w:rFonts w:hint="eastAsia" w:ascii="仿宋_GB2312" w:eastAsia="仿宋_GB2312"/>
          <w:sz w:val="32"/>
          <w:szCs w:val="32"/>
        </w:rPr>
        <w:t>方面的支出。</w:t>
      </w:r>
    </w:p>
    <w:p>
      <w:pPr>
        <w:spacing w:line="560" w:lineRule="exact"/>
        <w:ind w:firstLine="646" w:firstLineChars="200"/>
        <w:jc w:val="left"/>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0</w:t>
      </w:r>
      <w:r>
        <w:rPr>
          <w:rFonts w:hint="eastAsia" w:ascii="仿宋_GB2312" w:eastAsia="仿宋_GB2312"/>
          <w:b/>
          <w:bCs/>
          <w:sz w:val="32"/>
          <w:szCs w:val="32"/>
        </w:rPr>
        <w:t>.</w:t>
      </w:r>
      <w:r>
        <w:rPr>
          <w:rFonts w:hint="eastAsia" w:ascii="仿宋_GB2312" w:eastAsia="仿宋_GB2312"/>
          <w:b/>
          <w:sz w:val="32"/>
          <w:szCs w:val="32"/>
          <w:lang w:eastAsia="zh-CN"/>
        </w:rPr>
        <w:t>公共安全支出</w:t>
      </w:r>
      <w:r>
        <w:rPr>
          <w:rFonts w:hint="eastAsia" w:ascii="仿宋_GB2312" w:eastAsia="仿宋_GB2312"/>
          <w:b/>
          <w:sz w:val="32"/>
          <w:szCs w:val="32"/>
        </w:rPr>
        <w:t>（类）</w:t>
      </w:r>
      <w:r>
        <w:rPr>
          <w:rFonts w:hint="eastAsia" w:ascii="仿宋_GB2312" w:eastAsia="仿宋_GB2312"/>
          <w:b/>
          <w:sz w:val="32"/>
          <w:szCs w:val="32"/>
          <w:lang w:val="en-US" w:eastAsia="zh-CN"/>
        </w:rPr>
        <w:t>检察</w:t>
      </w:r>
      <w:r>
        <w:rPr>
          <w:rFonts w:hint="eastAsia" w:ascii="仿宋_GB2312" w:eastAsia="仿宋_GB2312"/>
          <w:b/>
          <w:sz w:val="32"/>
          <w:szCs w:val="32"/>
        </w:rPr>
        <w:t>（款）</w:t>
      </w:r>
      <w:r>
        <w:rPr>
          <w:rFonts w:hint="eastAsia" w:ascii="仿宋_GB2312" w:eastAsia="仿宋_GB2312"/>
          <w:b/>
          <w:sz w:val="32"/>
          <w:szCs w:val="32"/>
          <w:lang w:eastAsia="zh-CN"/>
        </w:rPr>
        <w:t>检察监督</w:t>
      </w:r>
      <w:r>
        <w:rPr>
          <w:rFonts w:hint="eastAsia" w:ascii="仿宋_GB2312" w:eastAsia="仿宋_GB2312"/>
          <w:b/>
          <w:sz w:val="32"/>
          <w:szCs w:val="32"/>
        </w:rPr>
        <w:t>（项）：</w:t>
      </w:r>
      <w:r>
        <w:rPr>
          <w:rFonts w:hint="eastAsia" w:ascii="仿宋_GB2312" w:eastAsia="仿宋_GB2312"/>
          <w:sz w:val="32"/>
          <w:szCs w:val="32"/>
        </w:rPr>
        <w:t>反映</w:t>
      </w:r>
      <w:r>
        <w:rPr>
          <w:rFonts w:hint="eastAsia" w:ascii="仿宋_GB2312" w:eastAsia="仿宋_GB2312"/>
          <w:sz w:val="32"/>
          <w:szCs w:val="32"/>
          <w:lang w:eastAsia="zh-CN"/>
        </w:rPr>
        <w:t>检察机关依法开展法律监督工作的支出，包括侦察监督、公诉、审判监督、执行监督、民事行政监督、公益诉讼、控告申诉等</w:t>
      </w:r>
      <w:r>
        <w:rPr>
          <w:rFonts w:hint="eastAsia" w:ascii="仿宋_GB2312" w:eastAsia="仿宋_GB2312"/>
          <w:sz w:val="32"/>
          <w:szCs w:val="32"/>
        </w:rPr>
        <w:t>。</w:t>
      </w:r>
    </w:p>
    <w:p>
      <w:pPr>
        <w:pStyle w:val="2"/>
        <w:ind w:firstLine="646" w:firstLineChars="200"/>
        <w:jc w:val="both"/>
        <w:rPr>
          <w:rFonts w:hint="eastAsia"/>
        </w:rPr>
      </w:pPr>
      <w:r>
        <w:rPr>
          <w:rFonts w:hint="eastAsia" w:ascii="仿宋_GB2312" w:eastAsia="仿宋_GB2312"/>
          <w:b/>
          <w:bCs/>
          <w:sz w:val="32"/>
          <w:szCs w:val="32"/>
          <w:lang w:val="en-US" w:eastAsia="zh-CN"/>
        </w:rPr>
        <w:t>11.</w:t>
      </w:r>
      <w:r>
        <w:rPr>
          <w:rFonts w:hint="eastAsia" w:ascii="仿宋_GB2312" w:eastAsia="仿宋_GB2312"/>
          <w:b/>
          <w:bCs/>
          <w:sz w:val="32"/>
          <w:szCs w:val="32"/>
        </w:rPr>
        <w:t>社会保障和就业支出（类）行政事业单位养老支出（款）</w:t>
      </w:r>
      <w:r>
        <w:rPr>
          <w:rFonts w:hint="eastAsia" w:ascii="仿宋_GB2312" w:eastAsia="仿宋_GB2312"/>
          <w:b/>
          <w:bCs/>
          <w:sz w:val="32"/>
          <w:szCs w:val="32"/>
          <w:lang w:eastAsia="zh-CN"/>
        </w:rPr>
        <w:t>行政单位离退休</w:t>
      </w:r>
      <w:r>
        <w:rPr>
          <w:rFonts w:hint="eastAsia" w:ascii="仿宋_GB2312" w:eastAsia="仿宋_GB2312"/>
          <w:b/>
          <w:bCs/>
          <w:sz w:val="32"/>
          <w:szCs w:val="32"/>
        </w:rPr>
        <w:t>（项）：</w:t>
      </w:r>
      <w:r>
        <w:rPr>
          <w:rFonts w:hint="eastAsia" w:ascii="仿宋_GB2312" w:eastAsia="仿宋_GB2312"/>
          <w:sz w:val="32"/>
          <w:szCs w:val="32"/>
        </w:rPr>
        <w:t>反映</w:t>
      </w:r>
      <w:r>
        <w:rPr>
          <w:rFonts w:hint="eastAsia" w:ascii="仿宋_GB2312" w:eastAsia="仿宋_GB2312"/>
          <w:sz w:val="32"/>
          <w:szCs w:val="32"/>
          <w:lang w:eastAsia="zh-CN"/>
        </w:rPr>
        <w:t>行政单位（包括实行公务员管理的事业单位）开支的离退休经费</w:t>
      </w:r>
      <w:r>
        <w:rPr>
          <w:rFonts w:hint="eastAsia" w:ascii="仿宋_GB2312" w:eastAsia="仿宋_GB2312"/>
          <w:sz w:val="32"/>
          <w:szCs w:val="32"/>
        </w:rPr>
        <w:t>。</w:t>
      </w:r>
    </w:p>
    <w:p>
      <w:pPr>
        <w:spacing w:line="560" w:lineRule="exact"/>
        <w:ind w:firstLine="646" w:firstLineChars="200"/>
        <w:jc w:val="both"/>
        <w:rPr>
          <w:rFonts w:hint="eastAsia" w:ascii="仿宋_GB2312" w:eastAsia="仿宋_GB2312"/>
          <w:sz w:val="32"/>
          <w:szCs w:val="32"/>
        </w:rPr>
      </w:pPr>
      <w:r>
        <w:rPr>
          <w:rFonts w:hint="eastAsia" w:ascii="仿宋_GB2312" w:eastAsia="仿宋_GB2312"/>
          <w:b/>
          <w:bCs/>
          <w:sz w:val="32"/>
          <w:szCs w:val="32"/>
          <w:lang w:val="en-US" w:eastAsia="zh-CN"/>
        </w:rPr>
        <w:t>12.</w:t>
      </w:r>
      <w:r>
        <w:rPr>
          <w:rFonts w:hint="eastAsia" w:ascii="仿宋_GB2312" w:eastAsia="仿宋_GB2312"/>
          <w:b/>
          <w:bCs/>
          <w:sz w:val="32"/>
          <w:szCs w:val="32"/>
        </w:rPr>
        <w:t>社会保障和就业支出（类）行政事业单位养老支出（款）机关事业单位基本养老保险缴费支出（项）：</w:t>
      </w:r>
      <w:r>
        <w:rPr>
          <w:rFonts w:hint="eastAsia" w:ascii="仿宋_GB2312" w:eastAsia="仿宋_GB2312"/>
          <w:sz w:val="32"/>
          <w:szCs w:val="32"/>
        </w:rPr>
        <w:t>反映机关事业单位实施养老保险制度由单位缴纳的基本养老保险费支出。</w:t>
      </w:r>
    </w:p>
    <w:p>
      <w:pPr>
        <w:spacing w:line="560" w:lineRule="exact"/>
        <w:ind w:firstLine="646" w:firstLineChars="200"/>
        <w:jc w:val="both"/>
        <w:rPr>
          <w:rFonts w:hint="eastAsia" w:ascii="仿宋_GB2312" w:eastAsia="仿宋_GB2312"/>
          <w:sz w:val="32"/>
          <w:szCs w:val="32"/>
          <w:lang w:val="en-US" w:eastAsia="zh-CN"/>
        </w:rPr>
      </w:pPr>
      <w:r>
        <w:rPr>
          <w:rFonts w:hint="eastAsia" w:ascii="仿宋_GB2312" w:eastAsia="仿宋_GB2312"/>
          <w:b/>
          <w:bCs/>
          <w:sz w:val="32"/>
          <w:szCs w:val="32"/>
          <w:lang w:val="en-US" w:eastAsia="zh-CN"/>
        </w:rPr>
        <w:t>13</w:t>
      </w:r>
      <w:r>
        <w:rPr>
          <w:rFonts w:hint="eastAsia" w:ascii="仿宋_GB2312" w:eastAsia="仿宋_GB2312"/>
          <w:b/>
          <w:bCs/>
          <w:sz w:val="32"/>
          <w:szCs w:val="32"/>
        </w:rPr>
        <w:t>.社会保障和就业支出（类）行政事业单位养老支出（款）机关事业单位职业年金缴费支出（项）：</w:t>
      </w:r>
      <w:r>
        <w:rPr>
          <w:rFonts w:hint="eastAsia" w:ascii="仿宋_GB2312" w:eastAsia="仿宋_GB2312"/>
          <w:sz w:val="32"/>
          <w:szCs w:val="32"/>
        </w:rPr>
        <w:t>反映机关事业单位实施养老保险制度由单位实际缴纳的职业年金支出。</w:t>
      </w:r>
      <w:r>
        <w:rPr>
          <w:rFonts w:hint="eastAsia" w:ascii="仿宋_GB2312" w:eastAsia="仿宋_GB2312"/>
          <w:sz w:val="32"/>
          <w:szCs w:val="32"/>
          <w:lang w:val="en-US" w:eastAsia="zh-CN"/>
        </w:rPr>
        <w:t xml:space="preserve">  </w:t>
      </w:r>
    </w:p>
    <w:p>
      <w:pPr>
        <w:spacing w:line="560" w:lineRule="exact"/>
        <w:ind w:firstLine="646" w:firstLineChars="200"/>
        <w:jc w:val="both"/>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.社会保障和就业支出（类）抚恤（款）死亡抚恤（项）：</w:t>
      </w:r>
      <w:r>
        <w:rPr>
          <w:rFonts w:hint="eastAsia" w:ascii="仿宋_GB2312" w:eastAsia="仿宋_GB2312"/>
          <w:sz w:val="32"/>
          <w:szCs w:val="32"/>
        </w:rPr>
        <w:t>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pPr>
        <w:spacing w:line="560" w:lineRule="exact"/>
        <w:ind w:firstLine="646" w:firstLineChars="200"/>
        <w:jc w:val="both"/>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.社会保障和就业支出（类）抚恤（款）伤残抚恤（项）：</w:t>
      </w:r>
      <w:r>
        <w:rPr>
          <w:rFonts w:hint="eastAsia" w:ascii="仿宋_GB2312" w:eastAsia="仿宋_GB2312"/>
          <w:sz w:val="32"/>
          <w:szCs w:val="32"/>
        </w:rPr>
        <w:t>反映按规定用于伤残人员的抚恤金和按规定开支的各种伤残补助费。</w:t>
      </w:r>
    </w:p>
    <w:p>
      <w:pPr>
        <w:spacing w:line="560" w:lineRule="exact"/>
        <w:ind w:firstLine="646" w:firstLineChars="200"/>
        <w:jc w:val="both"/>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.卫生健康支出（类）行政事业单位医疗（款）行政单位医疗（项）：</w:t>
      </w:r>
      <w:r>
        <w:rPr>
          <w:rFonts w:hint="eastAsia" w:ascii="仿宋_GB2312" w:eastAsia="仿宋_GB2312"/>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pPr>
        <w:spacing w:line="560" w:lineRule="exact"/>
        <w:ind w:firstLine="646" w:firstLineChars="200"/>
        <w:jc w:val="left"/>
        <w:rPr>
          <w:rFonts w:hint="eastAsia" w:ascii="仿宋_GB2312" w:eastAsia="仿宋_GB2312"/>
          <w:sz w:val="32"/>
          <w:szCs w:val="32"/>
          <w:lang w:eastAsia="zh-CN"/>
        </w:rPr>
      </w:pPr>
      <w:r>
        <w:rPr>
          <w:rFonts w:hint="eastAsia"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.住房保障支出（类）住房改革支出（款）住房公积金（项）：</w:t>
      </w:r>
      <w:r>
        <w:rPr>
          <w:rFonts w:hint="eastAsia" w:ascii="仿宋_GB2312" w:eastAsia="仿宋_GB2312"/>
          <w:sz w:val="32"/>
          <w:szCs w:val="32"/>
        </w:rPr>
        <w:t>反映行政事业单位按人力资源和社会保障部、财政部规定的基本工资和津贴补贴以及规定比例为职工缴纳的住房公积金</w:t>
      </w:r>
      <w:r>
        <w:rPr>
          <w:rFonts w:hint="eastAsia" w:ascii="仿宋_GB2312" w:eastAsia="仿宋_GB2312"/>
          <w:sz w:val="32"/>
          <w:szCs w:val="32"/>
          <w:lang w:eastAsia="zh-CN"/>
        </w:rPr>
        <w:t>。</w:t>
      </w:r>
    </w:p>
    <w:p>
      <w:pPr>
        <w:spacing w:line="560" w:lineRule="exact"/>
        <w:ind w:firstLine="646" w:firstLineChars="200"/>
        <w:jc w:val="left"/>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w:t>
      </w:r>
      <w:r>
        <w:rPr>
          <w:rFonts w:hint="eastAsia" w:ascii="仿宋_GB2312" w:eastAsia="仿宋_GB2312"/>
          <w:b/>
          <w:bCs/>
          <w:sz w:val="32"/>
          <w:szCs w:val="32"/>
          <w:lang w:eastAsia="zh-CN"/>
        </w:rPr>
        <w:t>资源勘探工业信息等支出</w:t>
      </w:r>
      <w:r>
        <w:rPr>
          <w:rFonts w:hint="eastAsia" w:ascii="仿宋_GB2312" w:eastAsia="仿宋_GB2312"/>
          <w:b/>
          <w:sz w:val="32"/>
          <w:szCs w:val="32"/>
        </w:rPr>
        <w:t>（类）</w:t>
      </w:r>
      <w:r>
        <w:rPr>
          <w:rFonts w:hint="eastAsia" w:ascii="仿宋_GB2312" w:eastAsia="仿宋_GB2312"/>
          <w:b/>
          <w:bCs/>
          <w:sz w:val="32"/>
          <w:szCs w:val="32"/>
          <w:lang w:eastAsia="zh-CN"/>
        </w:rPr>
        <w:t>其他资源勘探工业信息等支出</w:t>
      </w:r>
      <w:r>
        <w:rPr>
          <w:rFonts w:hint="eastAsia" w:ascii="仿宋_GB2312" w:eastAsia="仿宋_GB2312"/>
          <w:b/>
          <w:sz w:val="32"/>
          <w:szCs w:val="32"/>
        </w:rPr>
        <w:t>（款）</w:t>
      </w:r>
      <w:r>
        <w:rPr>
          <w:rFonts w:hint="eastAsia" w:ascii="仿宋_GB2312" w:eastAsia="仿宋_GB2312"/>
          <w:b/>
          <w:bCs/>
          <w:sz w:val="32"/>
          <w:szCs w:val="32"/>
          <w:lang w:eastAsia="zh-CN"/>
        </w:rPr>
        <w:t>他资源勘探工业信息等支出</w:t>
      </w:r>
      <w:r>
        <w:rPr>
          <w:rFonts w:hint="eastAsia" w:ascii="仿宋_GB2312" w:eastAsia="仿宋_GB2312"/>
          <w:b/>
          <w:sz w:val="32"/>
          <w:szCs w:val="32"/>
        </w:rPr>
        <w:t>（项）</w:t>
      </w:r>
      <w:r>
        <w:rPr>
          <w:rFonts w:hint="eastAsia" w:ascii="仿宋_GB2312" w:eastAsia="仿宋_GB2312"/>
          <w:b/>
          <w:bCs/>
          <w:sz w:val="32"/>
          <w:szCs w:val="32"/>
        </w:rPr>
        <w:t>：</w:t>
      </w:r>
      <w:r>
        <w:rPr>
          <w:rFonts w:hint="eastAsia" w:ascii="仿宋_GB2312" w:eastAsia="仿宋_GB2312"/>
          <w:sz w:val="32"/>
          <w:szCs w:val="32"/>
        </w:rPr>
        <w:t>反映</w:t>
      </w:r>
      <w:r>
        <w:rPr>
          <w:rFonts w:hint="eastAsia" w:ascii="仿宋_GB2312" w:eastAsia="仿宋_GB2312"/>
          <w:sz w:val="32"/>
          <w:szCs w:val="32"/>
          <w:lang w:eastAsia="zh-CN"/>
        </w:rPr>
        <w:t>除上述项目以外其他用于资源勘探工业信息等方面的支出。</w:t>
      </w:r>
    </w:p>
    <w:p>
      <w:pPr>
        <w:pStyle w:val="2"/>
        <w:rPr>
          <w:rFonts w:hint="eastAsia" w:ascii="仿宋_GB2312" w:eastAsia="仿宋_GB2312"/>
          <w:sz w:val="32"/>
          <w:szCs w:val="32"/>
        </w:rPr>
      </w:pPr>
    </w:p>
    <w:p>
      <w:pPr>
        <w:rPr>
          <w:rFonts w:hint="default" w:eastAsia="宋体"/>
          <w:lang w:val="en-US" w:eastAsia="zh-CN"/>
        </w:rPr>
        <w:sectPr>
          <w:footerReference r:id="rId5" w:type="default"/>
          <w:pgSz w:w="11906" w:h="16838"/>
          <w:pgMar w:top="1440" w:right="1797" w:bottom="1440" w:left="1797" w:header="851" w:footer="992" w:gutter="0"/>
          <w:cols w:space="0" w:num="1"/>
          <w:titlePg/>
          <w:docGrid w:type="linesAndChars" w:linePitch="312" w:charSpace="640"/>
        </w:sectPr>
      </w:pPr>
    </w:p>
    <w:p/>
    <w:p>
      <w:pPr>
        <w:rPr>
          <w:rFonts w:ascii="宋体" w:hAnsi="宋体"/>
          <w:b/>
          <w:sz w:val="36"/>
          <w:szCs w:val="36"/>
        </w:rPr>
      </w:pPr>
    </w:p>
    <w:p>
      <w:pPr>
        <w:pStyle w:val="2"/>
        <w:rPr>
          <w:rFonts w:ascii="宋体" w:hAnsi="宋体"/>
          <w:b/>
          <w:sz w:val="36"/>
          <w:szCs w:val="36"/>
        </w:rPr>
      </w:pPr>
    </w:p>
    <w:p>
      <w:pPr>
        <w:rPr>
          <w:rFonts w:ascii="宋体" w:hAnsi="宋体"/>
          <w:b/>
          <w:sz w:val="36"/>
          <w:szCs w:val="36"/>
        </w:rPr>
      </w:pPr>
    </w:p>
    <w:p>
      <w:pPr>
        <w:pStyle w:val="2"/>
      </w:pPr>
    </w:p>
    <w:p>
      <w:pPr>
        <w:spacing w:line="560" w:lineRule="exact"/>
        <w:jc w:val="center"/>
        <w:rPr>
          <w:rFonts w:ascii="宋体" w:hAnsi="宋体"/>
          <w:b/>
          <w:sz w:val="36"/>
          <w:szCs w:val="36"/>
        </w:rPr>
      </w:pPr>
    </w:p>
    <w:p>
      <w:pPr>
        <w:spacing w:line="560" w:lineRule="exact"/>
        <w:jc w:val="center"/>
        <w:rPr>
          <w:rFonts w:hint="eastAsia" w:ascii="仿宋_GB2312" w:eastAsia="仿宋_GB2312"/>
          <w:sz w:val="32"/>
          <w:szCs w:val="32"/>
          <w:lang w:val="en-US" w:eastAsia="zh-CN"/>
        </w:rPr>
      </w:pPr>
      <w:r>
        <w:rPr>
          <w:rFonts w:hint="eastAsia" w:ascii="宋体" w:hAnsi="宋体"/>
          <w:b/>
          <w:sz w:val="36"/>
          <w:szCs w:val="36"/>
        </w:rPr>
        <w:t xml:space="preserve">第五部分 </w:t>
      </w:r>
      <w:r>
        <w:rPr>
          <w:rFonts w:hint="eastAsia" w:ascii="宋体" w:hAnsi="宋体"/>
          <w:b/>
          <w:sz w:val="36"/>
          <w:szCs w:val="36"/>
          <w:lang w:val="en-US" w:eastAsia="zh-CN"/>
        </w:rPr>
        <w:t>2026年葫芦岛市连山区人民检察院</w:t>
      </w:r>
      <w:r>
        <w:rPr>
          <w:rFonts w:hint="eastAsia" w:ascii="宋体" w:hAnsi="宋体"/>
          <w:b/>
          <w:sz w:val="36"/>
          <w:szCs w:val="36"/>
        </w:rPr>
        <w:t>部门预算批复表</w:t>
      </w:r>
    </w:p>
    <w:sectPr>
      <w:pgSz w:w="16838" w:h="11906" w:orient="landscape"/>
      <w:pgMar w:top="1797" w:right="1440" w:bottom="1797" w:left="1440" w:header="851" w:footer="992" w:gutter="0"/>
      <w:cols w:space="0" w:num="1"/>
      <w:titlePg/>
      <w:rtlGutter w:val="0"/>
      <w:docGrid w:type="linesAndChars" w:linePitch="319" w:charSpace="64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AnGmEng" w:date="2024-01-18T10:58:17Z" w:initials="">
    <w:p w14:paraId="549029A1">
      <w:pPr>
        <w:pStyle w:val="3"/>
        <w:rPr>
          <w:highlight w:val="yellow"/>
        </w:rPr>
      </w:pPr>
      <w:r>
        <w:rPr>
          <w:rFonts w:hint="eastAsia" w:ascii="仿宋_GB2312" w:hAnsi="仿宋_GB2312" w:eastAsia="仿宋_GB2312" w:cs="仿宋_GB2312"/>
          <w:b/>
          <w:bCs/>
          <w:color w:val="FF0000"/>
          <w:sz w:val="36"/>
          <w:szCs w:val="36"/>
          <w:highlight w:val="yellow"/>
          <w:lang w:eastAsia="zh-CN"/>
        </w:rPr>
        <w:t>单位预算公开文件名称</w:t>
      </w:r>
      <w:r>
        <w:rPr>
          <w:rFonts w:hint="eastAsia" w:ascii="仿宋_GB2312" w:hAnsi="仿宋_GB2312" w:eastAsia="仿宋_GB2312" w:cs="仿宋_GB2312"/>
          <w:b/>
          <w:bCs/>
          <w:color w:val="FF0000"/>
          <w:sz w:val="36"/>
          <w:szCs w:val="36"/>
          <w:highlight w:val="yellow"/>
          <w:lang w:val="en-US" w:eastAsia="zh-CN"/>
        </w:rPr>
        <w:t>要</w:t>
      </w:r>
      <w:r>
        <w:rPr>
          <w:rFonts w:hint="eastAsia" w:ascii="仿宋_GB2312" w:hAnsi="仿宋_GB2312" w:eastAsia="仿宋_GB2312" w:cs="仿宋_GB2312"/>
          <w:b/>
          <w:bCs/>
          <w:color w:val="FF0000"/>
          <w:sz w:val="36"/>
          <w:szCs w:val="36"/>
          <w:highlight w:val="yellow"/>
          <w:lang w:eastAsia="zh-CN"/>
        </w:rPr>
        <w:t>居中，字体</w:t>
      </w:r>
      <w:r>
        <w:rPr>
          <w:rFonts w:hint="eastAsia" w:ascii="仿宋_GB2312" w:hAnsi="仿宋_GB2312" w:eastAsia="仿宋_GB2312" w:cs="仿宋_GB2312"/>
          <w:b/>
          <w:bCs/>
          <w:color w:val="FF0000"/>
          <w:sz w:val="36"/>
          <w:szCs w:val="36"/>
          <w:highlight w:val="yellow"/>
          <w:lang w:val="en-US" w:eastAsia="zh-CN"/>
        </w:rPr>
        <w:t>要</w:t>
      </w:r>
      <w:r>
        <w:rPr>
          <w:rFonts w:hint="eastAsia" w:ascii="仿宋_GB2312" w:hAnsi="仿宋_GB2312" w:eastAsia="仿宋_GB2312" w:cs="仿宋_GB2312"/>
          <w:b/>
          <w:bCs/>
          <w:color w:val="FF0000"/>
          <w:sz w:val="36"/>
          <w:szCs w:val="36"/>
          <w:highlight w:val="yellow"/>
          <w:lang w:eastAsia="zh-CN"/>
        </w:rPr>
        <w:t>加黑。</w:t>
      </w:r>
    </w:p>
  </w:comment>
  <w:comment w:id="1" w:author="ZhAnGmEng" w:date="2024-01-18T11:08:30Z" w:initials="">
    <w:p w14:paraId="2E7052BF">
      <w:pPr>
        <w:spacing w:line="560" w:lineRule="exact"/>
        <w:ind w:firstLine="723" w:firstLineChars="200"/>
        <w:jc w:val="left"/>
        <w:rPr>
          <w:rFonts w:hint="eastAsia" w:ascii="仿宋_GB2312" w:eastAsia="仿宋_GB2312"/>
          <w:b/>
          <w:bCs/>
          <w:color w:val="FF0000"/>
          <w:sz w:val="36"/>
          <w:szCs w:val="36"/>
          <w:highlight w:val="yellow"/>
          <w:lang w:val="en-US" w:eastAsia="zh-CN"/>
        </w:rPr>
      </w:pPr>
      <w:r>
        <w:rPr>
          <w:rFonts w:hint="eastAsia" w:ascii="仿宋_GB2312" w:eastAsia="仿宋_GB2312"/>
          <w:b/>
          <w:bCs/>
          <w:color w:val="FF0000"/>
          <w:sz w:val="36"/>
          <w:szCs w:val="36"/>
          <w:highlight w:val="yellow"/>
          <w:lang w:val="en-US" w:eastAsia="zh-CN"/>
        </w:rPr>
        <w:t>此处需体现部门本级及所有下属单位，格式为：</w:t>
      </w:r>
    </w:p>
    <w:p w14:paraId="6EC25F11">
      <w:pPr>
        <w:spacing w:line="560" w:lineRule="exact"/>
        <w:ind w:firstLine="723" w:firstLineChars="200"/>
        <w:jc w:val="left"/>
        <w:rPr>
          <w:rFonts w:hint="eastAsia" w:ascii="仿宋_GB2312" w:eastAsia="仿宋_GB2312"/>
          <w:b/>
          <w:bCs/>
          <w:color w:val="FF0000"/>
          <w:sz w:val="36"/>
          <w:szCs w:val="36"/>
          <w:highlight w:val="yellow"/>
          <w:lang w:val="en-US" w:eastAsia="zh-CN"/>
        </w:rPr>
      </w:pPr>
      <w:r>
        <w:rPr>
          <w:rFonts w:hint="eastAsia" w:ascii="仿宋_GB2312" w:eastAsia="仿宋_GB2312"/>
          <w:b/>
          <w:bCs/>
          <w:color w:val="FF0000"/>
          <w:sz w:val="36"/>
          <w:szCs w:val="36"/>
          <w:highlight w:val="yellow"/>
          <w:lang w:val="en-US" w:eastAsia="zh-CN"/>
        </w:rPr>
        <w:t>1.XX单位</w:t>
      </w:r>
    </w:p>
    <w:p w14:paraId="352E54DE">
      <w:pPr>
        <w:spacing w:line="560" w:lineRule="exact"/>
        <w:ind w:firstLine="723" w:firstLineChars="200"/>
        <w:jc w:val="left"/>
        <w:rPr>
          <w:rFonts w:hint="eastAsia" w:ascii="仿宋_GB2312" w:eastAsia="仿宋_GB2312"/>
          <w:b/>
          <w:bCs/>
          <w:color w:val="FF0000"/>
          <w:sz w:val="36"/>
          <w:szCs w:val="36"/>
          <w:highlight w:val="yellow"/>
          <w:lang w:val="en-US" w:eastAsia="zh-CN"/>
        </w:rPr>
      </w:pPr>
      <w:r>
        <w:rPr>
          <w:rFonts w:hint="eastAsia" w:ascii="仿宋_GB2312" w:eastAsia="仿宋_GB2312"/>
          <w:b/>
          <w:bCs/>
          <w:color w:val="FF0000"/>
          <w:sz w:val="36"/>
          <w:szCs w:val="36"/>
          <w:highlight w:val="yellow"/>
          <w:lang w:val="en-US" w:eastAsia="zh-CN"/>
        </w:rPr>
        <w:t>2.XX单位</w:t>
      </w:r>
    </w:p>
    <w:p w14:paraId="032725C2">
      <w:pPr>
        <w:spacing w:line="560" w:lineRule="exact"/>
        <w:ind w:firstLine="723" w:firstLineChars="200"/>
        <w:jc w:val="left"/>
        <w:rPr>
          <w:rFonts w:hint="eastAsia" w:ascii="仿宋_GB2312" w:eastAsia="仿宋_GB2312"/>
          <w:b/>
          <w:bCs/>
          <w:color w:val="FF0000"/>
          <w:sz w:val="36"/>
          <w:szCs w:val="36"/>
          <w:highlight w:val="yellow"/>
          <w:lang w:val="en-US" w:eastAsia="zh-CN"/>
        </w:rPr>
      </w:pPr>
      <w:r>
        <w:rPr>
          <w:rFonts w:hint="eastAsia" w:ascii="仿宋_GB2312" w:eastAsia="仿宋_GB2312"/>
          <w:b/>
          <w:bCs/>
          <w:color w:val="FF0000"/>
          <w:sz w:val="36"/>
          <w:szCs w:val="36"/>
          <w:highlight w:val="yellow"/>
          <w:lang w:val="en-US" w:eastAsia="zh-CN"/>
        </w:rPr>
        <w:t>如无二级单位，则只体现本级即可，无需加序号。</w:t>
      </w:r>
    </w:p>
  </w:comment>
  <w:comment w:id="2" w:author="ZhAnGmEng" w:date="2024-01-18T11:14:59Z" w:initials="">
    <w:p w14:paraId="0EEA7288">
      <w:pPr>
        <w:pStyle w:val="3"/>
        <w:rPr>
          <w:rFonts w:hint="default"/>
          <w:lang w:val="en-US"/>
        </w:rPr>
      </w:pPr>
      <w:r>
        <w:rPr>
          <w:rFonts w:hint="eastAsia" w:ascii="仿宋_GB2312" w:eastAsia="仿宋_GB2312"/>
          <w:b/>
          <w:bCs/>
          <w:color w:val="FF0000"/>
          <w:sz w:val="36"/>
          <w:szCs w:val="36"/>
          <w:highlight w:val="yellow"/>
          <w:lang w:val="en-US" w:eastAsia="zh-CN"/>
        </w:rPr>
        <w:t>不能填写人员经费，机关运行经费是公用经费。具体数值见一般公共支5表，F8值。</w:t>
      </w:r>
    </w:p>
  </w:comment>
  <w:comment w:id="3" w:author="ZhAnGmEng" w:date="2024-01-18T11:17:41Z" w:initials="">
    <w:p w14:paraId="537836A6">
      <w:pPr>
        <w:pStyle w:val="3"/>
        <w:rPr>
          <w:rFonts w:hint="eastAsia" w:ascii="仿宋_GB2312" w:eastAsia="仿宋_GB2312"/>
          <w:b/>
          <w:bCs/>
          <w:color w:val="FF0000"/>
          <w:sz w:val="36"/>
          <w:szCs w:val="36"/>
          <w:highlight w:val="yellow"/>
          <w:lang w:val="en-US" w:eastAsia="zh-CN"/>
        </w:rPr>
      </w:pPr>
      <w:r>
        <w:rPr>
          <w:rFonts w:hint="eastAsia" w:ascii="仿宋_GB2312" w:eastAsia="仿宋_GB2312"/>
          <w:b/>
          <w:bCs/>
          <w:color w:val="FF0000"/>
          <w:sz w:val="36"/>
          <w:szCs w:val="36"/>
          <w:highlight w:val="yellow"/>
          <w:lang w:val="en-US" w:eastAsia="zh-CN"/>
        </w:rPr>
        <w:t>无二级单位，部门（单位）整体绩效目标表个数固定为1个；含二级单位需统计所有二级单位整体绩效目标个数，应与批复表中部门（单位）整体绩效表数量一致。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9029A1" w15:done="0"/>
  <w15:commentEx w15:paraId="032725C2" w15:done="0"/>
  <w15:commentEx w15:paraId="0EEA7288" w15:done="0"/>
  <w15:commentEx w15:paraId="537836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4171"/>
    <w:multiLevelType w:val="multilevel"/>
    <w:tmpl w:val="17944171"/>
    <w:lvl w:ilvl="0" w:tentative="0">
      <w:start w:val="1"/>
      <w:numFmt w:val="japaneseCounting"/>
      <w:lvlText w:val="%1、"/>
      <w:lvlJc w:val="left"/>
      <w:pPr>
        <w:tabs>
          <w:tab w:val="left" w:pos="1260"/>
        </w:tabs>
        <w:ind w:left="1260" w:hanging="7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1769EA"/>
    <w:multiLevelType w:val="singleLevel"/>
    <w:tmpl w:val="601769EA"/>
    <w:lvl w:ilvl="0" w:tentative="0">
      <w:start w:val="8"/>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mEng">
    <w15:presenceInfo w15:providerId="None" w15:userId="ZhAnG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7"/>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NWY2MjNlMzI4YzdkMWQ3NzFlOTQzYzgwYjJlMDAifQ=="/>
  </w:docVars>
  <w:rsids>
    <w:rsidRoot w:val="001F4B21"/>
    <w:rsid w:val="000048A5"/>
    <w:rsid w:val="00007E46"/>
    <w:rsid w:val="000133BF"/>
    <w:rsid w:val="00022421"/>
    <w:rsid w:val="00024EC7"/>
    <w:rsid w:val="0002546B"/>
    <w:rsid w:val="0003153C"/>
    <w:rsid w:val="00032156"/>
    <w:rsid w:val="00042F4C"/>
    <w:rsid w:val="0004398C"/>
    <w:rsid w:val="0004572D"/>
    <w:rsid w:val="00051065"/>
    <w:rsid w:val="00054F25"/>
    <w:rsid w:val="00065C08"/>
    <w:rsid w:val="00073E3F"/>
    <w:rsid w:val="000906C5"/>
    <w:rsid w:val="000A47B7"/>
    <w:rsid w:val="000B3BE6"/>
    <w:rsid w:val="000B642D"/>
    <w:rsid w:val="000C25F9"/>
    <w:rsid w:val="000E1D7E"/>
    <w:rsid w:val="000E1DEF"/>
    <w:rsid w:val="000F3D4B"/>
    <w:rsid w:val="000F4A22"/>
    <w:rsid w:val="0010770D"/>
    <w:rsid w:val="001100B7"/>
    <w:rsid w:val="0012365F"/>
    <w:rsid w:val="001332DE"/>
    <w:rsid w:val="0013380C"/>
    <w:rsid w:val="00134FAF"/>
    <w:rsid w:val="001364E5"/>
    <w:rsid w:val="0013683A"/>
    <w:rsid w:val="001441A4"/>
    <w:rsid w:val="00156A4A"/>
    <w:rsid w:val="0016412F"/>
    <w:rsid w:val="001656BE"/>
    <w:rsid w:val="00175D02"/>
    <w:rsid w:val="00181D39"/>
    <w:rsid w:val="001846A6"/>
    <w:rsid w:val="001A415E"/>
    <w:rsid w:val="001A4640"/>
    <w:rsid w:val="001B77A9"/>
    <w:rsid w:val="001C1FBF"/>
    <w:rsid w:val="001C4D67"/>
    <w:rsid w:val="001D0424"/>
    <w:rsid w:val="001E32B1"/>
    <w:rsid w:val="001E3B59"/>
    <w:rsid w:val="001E3BB8"/>
    <w:rsid w:val="001F4B21"/>
    <w:rsid w:val="001F4DC4"/>
    <w:rsid w:val="001F5515"/>
    <w:rsid w:val="002003A2"/>
    <w:rsid w:val="00201094"/>
    <w:rsid w:val="00201459"/>
    <w:rsid w:val="002020FA"/>
    <w:rsid w:val="00203F23"/>
    <w:rsid w:val="002052C1"/>
    <w:rsid w:val="00207EF8"/>
    <w:rsid w:val="00210A14"/>
    <w:rsid w:val="002114F4"/>
    <w:rsid w:val="002137BF"/>
    <w:rsid w:val="0022096B"/>
    <w:rsid w:val="0022238E"/>
    <w:rsid w:val="00222BC7"/>
    <w:rsid w:val="00223284"/>
    <w:rsid w:val="0022540A"/>
    <w:rsid w:val="00227F7C"/>
    <w:rsid w:val="002335DF"/>
    <w:rsid w:val="00245461"/>
    <w:rsid w:val="00246231"/>
    <w:rsid w:val="00246CE3"/>
    <w:rsid w:val="00247688"/>
    <w:rsid w:val="0026131E"/>
    <w:rsid w:val="002625EE"/>
    <w:rsid w:val="00264E0A"/>
    <w:rsid w:val="002859E0"/>
    <w:rsid w:val="0029002D"/>
    <w:rsid w:val="00296E48"/>
    <w:rsid w:val="002A22FD"/>
    <w:rsid w:val="002A2DF7"/>
    <w:rsid w:val="002B4307"/>
    <w:rsid w:val="002C1A77"/>
    <w:rsid w:val="002C210E"/>
    <w:rsid w:val="002E3F3E"/>
    <w:rsid w:val="002F7837"/>
    <w:rsid w:val="00303749"/>
    <w:rsid w:val="003110BE"/>
    <w:rsid w:val="00313B70"/>
    <w:rsid w:val="00314ECD"/>
    <w:rsid w:val="00321418"/>
    <w:rsid w:val="00331390"/>
    <w:rsid w:val="00340F06"/>
    <w:rsid w:val="00344F39"/>
    <w:rsid w:val="00352555"/>
    <w:rsid w:val="00353C5E"/>
    <w:rsid w:val="003630B0"/>
    <w:rsid w:val="0036408C"/>
    <w:rsid w:val="00365D58"/>
    <w:rsid w:val="003664F3"/>
    <w:rsid w:val="00367798"/>
    <w:rsid w:val="003858E5"/>
    <w:rsid w:val="00391EA2"/>
    <w:rsid w:val="00393F53"/>
    <w:rsid w:val="003A0063"/>
    <w:rsid w:val="003A04EC"/>
    <w:rsid w:val="003A06BD"/>
    <w:rsid w:val="003A4F29"/>
    <w:rsid w:val="003C444A"/>
    <w:rsid w:val="003E0DAF"/>
    <w:rsid w:val="003E4A52"/>
    <w:rsid w:val="003E694A"/>
    <w:rsid w:val="003F3466"/>
    <w:rsid w:val="003F4695"/>
    <w:rsid w:val="003F6E5B"/>
    <w:rsid w:val="004037DF"/>
    <w:rsid w:val="00414072"/>
    <w:rsid w:val="004152DB"/>
    <w:rsid w:val="0042230F"/>
    <w:rsid w:val="004265C6"/>
    <w:rsid w:val="00426B4B"/>
    <w:rsid w:val="00437E10"/>
    <w:rsid w:val="0044636A"/>
    <w:rsid w:val="00476F8F"/>
    <w:rsid w:val="00486679"/>
    <w:rsid w:val="00493F18"/>
    <w:rsid w:val="004943FF"/>
    <w:rsid w:val="00495584"/>
    <w:rsid w:val="004A4FDC"/>
    <w:rsid w:val="004A72AF"/>
    <w:rsid w:val="004B143F"/>
    <w:rsid w:val="004C0904"/>
    <w:rsid w:val="004C4DE5"/>
    <w:rsid w:val="004D2F79"/>
    <w:rsid w:val="004D584E"/>
    <w:rsid w:val="004D7A05"/>
    <w:rsid w:val="004E0C11"/>
    <w:rsid w:val="004E78BE"/>
    <w:rsid w:val="004F0520"/>
    <w:rsid w:val="004F4D7E"/>
    <w:rsid w:val="004F5303"/>
    <w:rsid w:val="00510447"/>
    <w:rsid w:val="005127EF"/>
    <w:rsid w:val="00515B98"/>
    <w:rsid w:val="005222F9"/>
    <w:rsid w:val="00523EB0"/>
    <w:rsid w:val="00532926"/>
    <w:rsid w:val="005402C5"/>
    <w:rsid w:val="005460BF"/>
    <w:rsid w:val="0054694B"/>
    <w:rsid w:val="00550F83"/>
    <w:rsid w:val="0055106B"/>
    <w:rsid w:val="00552654"/>
    <w:rsid w:val="005555E7"/>
    <w:rsid w:val="00555F4E"/>
    <w:rsid w:val="0057459C"/>
    <w:rsid w:val="00577A55"/>
    <w:rsid w:val="005808B9"/>
    <w:rsid w:val="00583D3E"/>
    <w:rsid w:val="00584A71"/>
    <w:rsid w:val="00585962"/>
    <w:rsid w:val="00592B0A"/>
    <w:rsid w:val="00595870"/>
    <w:rsid w:val="005A0EF3"/>
    <w:rsid w:val="005A5C5F"/>
    <w:rsid w:val="005B0557"/>
    <w:rsid w:val="005C4ABB"/>
    <w:rsid w:val="005C4E9E"/>
    <w:rsid w:val="005C54B4"/>
    <w:rsid w:val="005C6815"/>
    <w:rsid w:val="005F11E5"/>
    <w:rsid w:val="00600E56"/>
    <w:rsid w:val="0060382D"/>
    <w:rsid w:val="006040F6"/>
    <w:rsid w:val="00605615"/>
    <w:rsid w:val="006057DC"/>
    <w:rsid w:val="00605F98"/>
    <w:rsid w:val="006064EB"/>
    <w:rsid w:val="00607DB4"/>
    <w:rsid w:val="00612625"/>
    <w:rsid w:val="00616C8C"/>
    <w:rsid w:val="00616F4E"/>
    <w:rsid w:val="006243E7"/>
    <w:rsid w:val="00625388"/>
    <w:rsid w:val="0062602A"/>
    <w:rsid w:val="00627D2A"/>
    <w:rsid w:val="006307F2"/>
    <w:rsid w:val="00633168"/>
    <w:rsid w:val="00636659"/>
    <w:rsid w:val="0064235B"/>
    <w:rsid w:val="00642B16"/>
    <w:rsid w:val="0064390F"/>
    <w:rsid w:val="00644B0C"/>
    <w:rsid w:val="00645EDB"/>
    <w:rsid w:val="00646255"/>
    <w:rsid w:val="006470E5"/>
    <w:rsid w:val="006667C4"/>
    <w:rsid w:val="0067371A"/>
    <w:rsid w:val="0068053A"/>
    <w:rsid w:val="006863E1"/>
    <w:rsid w:val="006870E5"/>
    <w:rsid w:val="00687611"/>
    <w:rsid w:val="00692DF0"/>
    <w:rsid w:val="00696EED"/>
    <w:rsid w:val="006A1F21"/>
    <w:rsid w:val="006A6E55"/>
    <w:rsid w:val="006A798C"/>
    <w:rsid w:val="006B2685"/>
    <w:rsid w:val="006C071F"/>
    <w:rsid w:val="006C1E92"/>
    <w:rsid w:val="006C2F3F"/>
    <w:rsid w:val="006C3B05"/>
    <w:rsid w:val="006C3EC1"/>
    <w:rsid w:val="006C6599"/>
    <w:rsid w:val="006D5585"/>
    <w:rsid w:val="006D75C4"/>
    <w:rsid w:val="006E1AF1"/>
    <w:rsid w:val="006E28B5"/>
    <w:rsid w:val="006E43B1"/>
    <w:rsid w:val="006F2679"/>
    <w:rsid w:val="0070065A"/>
    <w:rsid w:val="007119CC"/>
    <w:rsid w:val="00721FD3"/>
    <w:rsid w:val="0072268A"/>
    <w:rsid w:val="007232B8"/>
    <w:rsid w:val="00724191"/>
    <w:rsid w:val="00730D65"/>
    <w:rsid w:val="00731AA4"/>
    <w:rsid w:val="00732C10"/>
    <w:rsid w:val="00734A9C"/>
    <w:rsid w:val="007354FB"/>
    <w:rsid w:val="007406C0"/>
    <w:rsid w:val="00741F03"/>
    <w:rsid w:val="007456A4"/>
    <w:rsid w:val="00773350"/>
    <w:rsid w:val="00773BD8"/>
    <w:rsid w:val="007A75ED"/>
    <w:rsid w:val="007B3491"/>
    <w:rsid w:val="007C3D56"/>
    <w:rsid w:val="007D2208"/>
    <w:rsid w:val="007D3678"/>
    <w:rsid w:val="007D5C00"/>
    <w:rsid w:val="007D5C20"/>
    <w:rsid w:val="007E10AF"/>
    <w:rsid w:val="007E2348"/>
    <w:rsid w:val="007F2FF7"/>
    <w:rsid w:val="007F3E2E"/>
    <w:rsid w:val="007F4788"/>
    <w:rsid w:val="007F6A7A"/>
    <w:rsid w:val="00804577"/>
    <w:rsid w:val="00814382"/>
    <w:rsid w:val="00816E1B"/>
    <w:rsid w:val="008177C7"/>
    <w:rsid w:val="008211C9"/>
    <w:rsid w:val="008234DA"/>
    <w:rsid w:val="00825D6B"/>
    <w:rsid w:val="00827E6A"/>
    <w:rsid w:val="008301EF"/>
    <w:rsid w:val="00832E30"/>
    <w:rsid w:val="008369B0"/>
    <w:rsid w:val="00837D30"/>
    <w:rsid w:val="00847466"/>
    <w:rsid w:val="008604B0"/>
    <w:rsid w:val="008740C1"/>
    <w:rsid w:val="0087547D"/>
    <w:rsid w:val="00876D1D"/>
    <w:rsid w:val="00895609"/>
    <w:rsid w:val="008A6F4E"/>
    <w:rsid w:val="008B2071"/>
    <w:rsid w:val="008B2083"/>
    <w:rsid w:val="008B2BFB"/>
    <w:rsid w:val="008B567B"/>
    <w:rsid w:val="008D67C1"/>
    <w:rsid w:val="008D6BAE"/>
    <w:rsid w:val="008E14F7"/>
    <w:rsid w:val="008F085F"/>
    <w:rsid w:val="008F4786"/>
    <w:rsid w:val="009122B2"/>
    <w:rsid w:val="00912532"/>
    <w:rsid w:val="0091437F"/>
    <w:rsid w:val="00917BF2"/>
    <w:rsid w:val="00926C07"/>
    <w:rsid w:val="00932D2C"/>
    <w:rsid w:val="00941A4D"/>
    <w:rsid w:val="0095395F"/>
    <w:rsid w:val="00954AA1"/>
    <w:rsid w:val="00970433"/>
    <w:rsid w:val="00992766"/>
    <w:rsid w:val="0099456C"/>
    <w:rsid w:val="009A2955"/>
    <w:rsid w:val="009A4153"/>
    <w:rsid w:val="009B50A6"/>
    <w:rsid w:val="009C0E1F"/>
    <w:rsid w:val="009C78B8"/>
    <w:rsid w:val="009D4D50"/>
    <w:rsid w:val="009E3607"/>
    <w:rsid w:val="009E4011"/>
    <w:rsid w:val="009E6934"/>
    <w:rsid w:val="009F0437"/>
    <w:rsid w:val="009F4519"/>
    <w:rsid w:val="009F666E"/>
    <w:rsid w:val="00A050CA"/>
    <w:rsid w:val="00A05CA5"/>
    <w:rsid w:val="00A1076A"/>
    <w:rsid w:val="00A16982"/>
    <w:rsid w:val="00A31903"/>
    <w:rsid w:val="00A45684"/>
    <w:rsid w:val="00A462FD"/>
    <w:rsid w:val="00A6246E"/>
    <w:rsid w:val="00A64808"/>
    <w:rsid w:val="00A71852"/>
    <w:rsid w:val="00A80480"/>
    <w:rsid w:val="00A80FD5"/>
    <w:rsid w:val="00A860C3"/>
    <w:rsid w:val="00A877C7"/>
    <w:rsid w:val="00A91A3A"/>
    <w:rsid w:val="00A93DBE"/>
    <w:rsid w:val="00A966FF"/>
    <w:rsid w:val="00AA1922"/>
    <w:rsid w:val="00AC34D0"/>
    <w:rsid w:val="00AC480B"/>
    <w:rsid w:val="00AD2E2D"/>
    <w:rsid w:val="00AE7A0D"/>
    <w:rsid w:val="00B03ED6"/>
    <w:rsid w:val="00B0465C"/>
    <w:rsid w:val="00B1023F"/>
    <w:rsid w:val="00B17365"/>
    <w:rsid w:val="00B3097E"/>
    <w:rsid w:val="00B3322E"/>
    <w:rsid w:val="00B34341"/>
    <w:rsid w:val="00B43C68"/>
    <w:rsid w:val="00B45B68"/>
    <w:rsid w:val="00B530B3"/>
    <w:rsid w:val="00B54F33"/>
    <w:rsid w:val="00B64505"/>
    <w:rsid w:val="00B64E59"/>
    <w:rsid w:val="00B718FD"/>
    <w:rsid w:val="00B72DC4"/>
    <w:rsid w:val="00B85E08"/>
    <w:rsid w:val="00B862F1"/>
    <w:rsid w:val="00B876F3"/>
    <w:rsid w:val="00B954BC"/>
    <w:rsid w:val="00BA1A55"/>
    <w:rsid w:val="00BA4728"/>
    <w:rsid w:val="00BB03CD"/>
    <w:rsid w:val="00BB1BBB"/>
    <w:rsid w:val="00BB3262"/>
    <w:rsid w:val="00BB593E"/>
    <w:rsid w:val="00BB74D8"/>
    <w:rsid w:val="00BC197F"/>
    <w:rsid w:val="00BC32E3"/>
    <w:rsid w:val="00BD4E6F"/>
    <w:rsid w:val="00BD543E"/>
    <w:rsid w:val="00BE0968"/>
    <w:rsid w:val="00BE3584"/>
    <w:rsid w:val="00BE7B78"/>
    <w:rsid w:val="00C00427"/>
    <w:rsid w:val="00C063ED"/>
    <w:rsid w:val="00C116AA"/>
    <w:rsid w:val="00C13E8F"/>
    <w:rsid w:val="00C14110"/>
    <w:rsid w:val="00C164CA"/>
    <w:rsid w:val="00C205B2"/>
    <w:rsid w:val="00C30E2E"/>
    <w:rsid w:val="00C45BFE"/>
    <w:rsid w:val="00C5023B"/>
    <w:rsid w:val="00C57542"/>
    <w:rsid w:val="00C5780C"/>
    <w:rsid w:val="00C61CCD"/>
    <w:rsid w:val="00C656DC"/>
    <w:rsid w:val="00C71D5C"/>
    <w:rsid w:val="00C9239A"/>
    <w:rsid w:val="00C938AA"/>
    <w:rsid w:val="00CA3545"/>
    <w:rsid w:val="00CA36DD"/>
    <w:rsid w:val="00CB433D"/>
    <w:rsid w:val="00CC2F87"/>
    <w:rsid w:val="00CD34D3"/>
    <w:rsid w:val="00CE11E3"/>
    <w:rsid w:val="00CE1377"/>
    <w:rsid w:val="00CE245C"/>
    <w:rsid w:val="00CE2746"/>
    <w:rsid w:val="00CE63ED"/>
    <w:rsid w:val="00CF4A89"/>
    <w:rsid w:val="00D12C10"/>
    <w:rsid w:val="00D22F31"/>
    <w:rsid w:val="00D238BC"/>
    <w:rsid w:val="00D269C4"/>
    <w:rsid w:val="00D316A1"/>
    <w:rsid w:val="00D32B4A"/>
    <w:rsid w:val="00D3350D"/>
    <w:rsid w:val="00D33629"/>
    <w:rsid w:val="00D33984"/>
    <w:rsid w:val="00D33CB1"/>
    <w:rsid w:val="00D3769E"/>
    <w:rsid w:val="00D433E9"/>
    <w:rsid w:val="00D47A1E"/>
    <w:rsid w:val="00D71AF2"/>
    <w:rsid w:val="00D758CC"/>
    <w:rsid w:val="00D75E88"/>
    <w:rsid w:val="00D80E84"/>
    <w:rsid w:val="00D8148A"/>
    <w:rsid w:val="00D82BFF"/>
    <w:rsid w:val="00D951D8"/>
    <w:rsid w:val="00DA7B73"/>
    <w:rsid w:val="00DB2147"/>
    <w:rsid w:val="00DB48EE"/>
    <w:rsid w:val="00DB6425"/>
    <w:rsid w:val="00DC387B"/>
    <w:rsid w:val="00DC5D43"/>
    <w:rsid w:val="00DE1F2B"/>
    <w:rsid w:val="00DE23A0"/>
    <w:rsid w:val="00DE32D8"/>
    <w:rsid w:val="00DF1754"/>
    <w:rsid w:val="00DF3B18"/>
    <w:rsid w:val="00E1628B"/>
    <w:rsid w:val="00E174DA"/>
    <w:rsid w:val="00E26BED"/>
    <w:rsid w:val="00E27A17"/>
    <w:rsid w:val="00E31F50"/>
    <w:rsid w:val="00E53488"/>
    <w:rsid w:val="00E54C91"/>
    <w:rsid w:val="00E563EB"/>
    <w:rsid w:val="00E578B5"/>
    <w:rsid w:val="00E57A06"/>
    <w:rsid w:val="00E6205C"/>
    <w:rsid w:val="00E63978"/>
    <w:rsid w:val="00E63A6D"/>
    <w:rsid w:val="00E652F3"/>
    <w:rsid w:val="00E72396"/>
    <w:rsid w:val="00E72423"/>
    <w:rsid w:val="00E76A34"/>
    <w:rsid w:val="00E76E63"/>
    <w:rsid w:val="00EC15B9"/>
    <w:rsid w:val="00EC55F1"/>
    <w:rsid w:val="00ED10C9"/>
    <w:rsid w:val="00ED2999"/>
    <w:rsid w:val="00ED33DC"/>
    <w:rsid w:val="00ED4939"/>
    <w:rsid w:val="00EE19E6"/>
    <w:rsid w:val="00EE4854"/>
    <w:rsid w:val="00F01DD7"/>
    <w:rsid w:val="00F22489"/>
    <w:rsid w:val="00F234F5"/>
    <w:rsid w:val="00F305AA"/>
    <w:rsid w:val="00F6732E"/>
    <w:rsid w:val="00F77CD4"/>
    <w:rsid w:val="00F81ABA"/>
    <w:rsid w:val="00F85E64"/>
    <w:rsid w:val="00F90DDE"/>
    <w:rsid w:val="00F953F8"/>
    <w:rsid w:val="00F969C4"/>
    <w:rsid w:val="00FA7402"/>
    <w:rsid w:val="00FA79EA"/>
    <w:rsid w:val="00FA7C82"/>
    <w:rsid w:val="00FB14EE"/>
    <w:rsid w:val="00FB4B59"/>
    <w:rsid w:val="00FB6E35"/>
    <w:rsid w:val="00FC2939"/>
    <w:rsid w:val="00FD3CCD"/>
    <w:rsid w:val="00FE3108"/>
    <w:rsid w:val="00FE3361"/>
    <w:rsid w:val="00FE6175"/>
    <w:rsid w:val="00FE7DD8"/>
    <w:rsid w:val="00FF08FA"/>
    <w:rsid w:val="00FF712A"/>
    <w:rsid w:val="014063FE"/>
    <w:rsid w:val="01473B55"/>
    <w:rsid w:val="01533CBB"/>
    <w:rsid w:val="01610122"/>
    <w:rsid w:val="017D3C08"/>
    <w:rsid w:val="01A746F3"/>
    <w:rsid w:val="01F9035B"/>
    <w:rsid w:val="0224362A"/>
    <w:rsid w:val="02BF105F"/>
    <w:rsid w:val="02C10E79"/>
    <w:rsid w:val="02C51D20"/>
    <w:rsid w:val="031511C4"/>
    <w:rsid w:val="03577A2F"/>
    <w:rsid w:val="03930692"/>
    <w:rsid w:val="03D4408D"/>
    <w:rsid w:val="03F51722"/>
    <w:rsid w:val="04C92FF4"/>
    <w:rsid w:val="04EE6171"/>
    <w:rsid w:val="04FF212C"/>
    <w:rsid w:val="05084C4F"/>
    <w:rsid w:val="05121E5F"/>
    <w:rsid w:val="0539563E"/>
    <w:rsid w:val="05590D97"/>
    <w:rsid w:val="056904AB"/>
    <w:rsid w:val="069B1278"/>
    <w:rsid w:val="06B84EC6"/>
    <w:rsid w:val="06F26EF4"/>
    <w:rsid w:val="06FC6923"/>
    <w:rsid w:val="07000E37"/>
    <w:rsid w:val="076641DD"/>
    <w:rsid w:val="077A6D35"/>
    <w:rsid w:val="078D0595"/>
    <w:rsid w:val="07AF7E3A"/>
    <w:rsid w:val="080D4122"/>
    <w:rsid w:val="085B1DF0"/>
    <w:rsid w:val="08943C9F"/>
    <w:rsid w:val="08D65034"/>
    <w:rsid w:val="08F953B3"/>
    <w:rsid w:val="09236A9D"/>
    <w:rsid w:val="092E4D8E"/>
    <w:rsid w:val="09B35DC1"/>
    <w:rsid w:val="0A7E50A7"/>
    <w:rsid w:val="0A7F1DA5"/>
    <w:rsid w:val="0ABE8F1E"/>
    <w:rsid w:val="0AD42FF7"/>
    <w:rsid w:val="0ADD3B21"/>
    <w:rsid w:val="0B053EC8"/>
    <w:rsid w:val="0B642054"/>
    <w:rsid w:val="0B6C7DF0"/>
    <w:rsid w:val="0BB208C5"/>
    <w:rsid w:val="0C423125"/>
    <w:rsid w:val="0C5B233E"/>
    <w:rsid w:val="0C811679"/>
    <w:rsid w:val="0CDD0FA5"/>
    <w:rsid w:val="0CEC11E8"/>
    <w:rsid w:val="0CFB0897"/>
    <w:rsid w:val="0D2427C1"/>
    <w:rsid w:val="0D366907"/>
    <w:rsid w:val="0E2844A2"/>
    <w:rsid w:val="0E3E5A73"/>
    <w:rsid w:val="0E5D2B9E"/>
    <w:rsid w:val="0E6D4386"/>
    <w:rsid w:val="0EA31D7A"/>
    <w:rsid w:val="0EC75A69"/>
    <w:rsid w:val="0F2A085F"/>
    <w:rsid w:val="0F4672D5"/>
    <w:rsid w:val="0F7349CC"/>
    <w:rsid w:val="0F9D4A1B"/>
    <w:rsid w:val="104F21BA"/>
    <w:rsid w:val="106E56DE"/>
    <w:rsid w:val="10A73795"/>
    <w:rsid w:val="10CA7A92"/>
    <w:rsid w:val="11B20219"/>
    <w:rsid w:val="12053394"/>
    <w:rsid w:val="126B66EF"/>
    <w:rsid w:val="127267ED"/>
    <w:rsid w:val="12D40754"/>
    <w:rsid w:val="12D44BF8"/>
    <w:rsid w:val="12FB3F33"/>
    <w:rsid w:val="130D280B"/>
    <w:rsid w:val="132428BF"/>
    <w:rsid w:val="13DA7FEC"/>
    <w:rsid w:val="14451D95"/>
    <w:rsid w:val="14A5684C"/>
    <w:rsid w:val="154A11A2"/>
    <w:rsid w:val="157B57FF"/>
    <w:rsid w:val="15D942D4"/>
    <w:rsid w:val="164200CB"/>
    <w:rsid w:val="166B7621"/>
    <w:rsid w:val="168E2D88"/>
    <w:rsid w:val="16B8213B"/>
    <w:rsid w:val="16BE2EC2"/>
    <w:rsid w:val="16E05E65"/>
    <w:rsid w:val="16EB42BE"/>
    <w:rsid w:val="16F72C63"/>
    <w:rsid w:val="17141A67"/>
    <w:rsid w:val="17654922"/>
    <w:rsid w:val="17676F00"/>
    <w:rsid w:val="17B60D70"/>
    <w:rsid w:val="17B616E5"/>
    <w:rsid w:val="17F07D94"/>
    <w:rsid w:val="183D6D9C"/>
    <w:rsid w:val="1877372F"/>
    <w:rsid w:val="18842C1C"/>
    <w:rsid w:val="189B1ADC"/>
    <w:rsid w:val="18AC3A55"/>
    <w:rsid w:val="18C33AC7"/>
    <w:rsid w:val="18D94D16"/>
    <w:rsid w:val="18DF049C"/>
    <w:rsid w:val="18EC27B3"/>
    <w:rsid w:val="19027D91"/>
    <w:rsid w:val="19455480"/>
    <w:rsid w:val="194D1260"/>
    <w:rsid w:val="199944A6"/>
    <w:rsid w:val="19D354DD"/>
    <w:rsid w:val="19E03E83"/>
    <w:rsid w:val="19E41BC5"/>
    <w:rsid w:val="1A0F73A5"/>
    <w:rsid w:val="1AC94917"/>
    <w:rsid w:val="1AD27C6F"/>
    <w:rsid w:val="1AFF79D0"/>
    <w:rsid w:val="1B1F6C2C"/>
    <w:rsid w:val="1B2059B8"/>
    <w:rsid w:val="1B4E181C"/>
    <w:rsid w:val="1B6601DF"/>
    <w:rsid w:val="1B8F6A9A"/>
    <w:rsid w:val="1BAB328C"/>
    <w:rsid w:val="1BCE367C"/>
    <w:rsid w:val="1BDE2B69"/>
    <w:rsid w:val="1BF84BC7"/>
    <w:rsid w:val="1BFD429B"/>
    <w:rsid w:val="1C2E5379"/>
    <w:rsid w:val="1C4A0633"/>
    <w:rsid w:val="1C5F3784"/>
    <w:rsid w:val="1C9F1DD3"/>
    <w:rsid w:val="1D462851"/>
    <w:rsid w:val="1D89090A"/>
    <w:rsid w:val="1DD91315"/>
    <w:rsid w:val="1DF602FB"/>
    <w:rsid w:val="1E0F132C"/>
    <w:rsid w:val="1E2F7187"/>
    <w:rsid w:val="1E371666"/>
    <w:rsid w:val="1E675946"/>
    <w:rsid w:val="1EA505CB"/>
    <w:rsid w:val="1F212A66"/>
    <w:rsid w:val="1F315D3A"/>
    <w:rsid w:val="1F9C480C"/>
    <w:rsid w:val="1FD2426D"/>
    <w:rsid w:val="200D6146"/>
    <w:rsid w:val="200D799B"/>
    <w:rsid w:val="2134517A"/>
    <w:rsid w:val="215A4D90"/>
    <w:rsid w:val="21837F15"/>
    <w:rsid w:val="21D342CD"/>
    <w:rsid w:val="221D5B42"/>
    <w:rsid w:val="225F55CE"/>
    <w:rsid w:val="22A04AF7"/>
    <w:rsid w:val="22A939AB"/>
    <w:rsid w:val="22E36792"/>
    <w:rsid w:val="23333275"/>
    <w:rsid w:val="239A1546"/>
    <w:rsid w:val="23E13ABE"/>
    <w:rsid w:val="24066BDB"/>
    <w:rsid w:val="24883A94"/>
    <w:rsid w:val="24AB5376"/>
    <w:rsid w:val="24D171E9"/>
    <w:rsid w:val="24D3660E"/>
    <w:rsid w:val="24DB746F"/>
    <w:rsid w:val="25201F1F"/>
    <w:rsid w:val="25583467"/>
    <w:rsid w:val="2593368A"/>
    <w:rsid w:val="25AE752B"/>
    <w:rsid w:val="25DA3E7C"/>
    <w:rsid w:val="260E190B"/>
    <w:rsid w:val="26192BF6"/>
    <w:rsid w:val="263F63D5"/>
    <w:rsid w:val="266A177F"/>
    <w:rsid w:val="26802C75"/>
    <w:rsid w:val="26C64400"/>
    <w:rsid w:val="26D905D7"/>
    <w:rsid w:val="270615B9"/>
    <w:rsid w:val="270B1A4A"/>
    <w:rsid w:val="2753038A"/>
    <w:rsid w:val="27773A27"/>
    <w:rsid w:val="282579A0"/>
    <w:rsid w:val="2829733C"/>
    <w:rsid w:val="285C14C0"/>
    <w:rsid w:val="29543F45"/>
    <w:rsid w:val="296E3259"/>
    <w:rsid w:val="298C6232"/>
    <w:rsid w:val="29990502"/>
    <w:rsid w:val="29A529F3"/>
    <w:rsid w:val="29E6061F"/>
    <w:rsid w:val="29E96D83"/>
    <w:rsid w:val="2A047719"/>
    <w:rsid w:val="2A3E5AEE"/>
    <w:rsid w:val="2A750617"/>
    <w:rsid w:val="2A834AE2"/>
    <w:rsid w:val="2AB23619"/>
    <w:rsid w:val="2B1240B8"/>
    <w:rsid w:val="2B2C4E44"/>
    <w:rsid w:val="2B6A3EF4"/>
    <w:rsid w:val="2BEE2E9E"/>
    <w:rsid w:val="2C183950"/>
    <w:rsid w:val="2C1B1DF4"/>
    <w:rsid w:val="2C212804"/>
    <w:rsid w:val="2C4B7881"/>
    <w:rsid w:val="2CB216AE"/>
    <w:rsid w:val="2CF9552F"/>
    <w:rsid w:val="2D0F6B01"/>
    <w:rsid w:val="2D2449BD"/>
    <w:rsid w:val="2DF84BAC"/>
    <w:rsid w:val="2E254102"/>
    <w:rsid w:val="2E690493"/>
    <w:rsid w:val="2E8157DC"/>
    <w:rsid w:val="2EB07E70"/>
    <w:rsid w:val="2EB3162C"/>
    <w:rsid w:val="2EE465A5"/>
    <w:rsid w:val="2F142285"/>
    <w:rsid w:val="2FAC4B1B"/>
    <w:rsid w:val="2FD47B8E"/>
    <w:rsid w:val="2FE53DD7"/>
    <w:rsid w:val="2FF28988"/>
    <w:rsid w:val="313E7D46"/>
    <w:rsid w:val="316278D0"/>
    <w:rsid w:val="316C7C8A"/>
    <w:rsid w:val="318355FD"/>
    <w:rsid w:val="31EE3102"/>
    <w:rsid w:val="31FB3A39"/>
    <w:rsid w:val="31FC517A"/>
    <w:rsid w:val="32470AEB"/>
    <w:rsid w:val="32AA32C1"/>
    <w:rsid w:val="33704071"/>
    <w:rsid w:val="33F20F2A"/>
    <w:rsid w:val="34190834"/>
    <w:rsid w:val="342A4220"/>
    <w:rsid w:val="346E6803"/>
    <w:rsid w:val="34FD1935"/>
    <w:rsid w:val="3505415D"/>
    <w:rsid w:val="355157DD"/>
    <w:rsid w:val="35FF348B"/>
    <w:rsid w:val="360D5BA8"/>
    <w:rsid w:val="365A03F2"/>
    <w:rsid w:val="36F6584D"/>
    <w:rsid w:val="37461371"/>
    <w:rsid w:val="377F0D27"/>
    <w:rsid w:val="38284F1B"/>
    <w:rsid w:val="385D4246"/>
    <w:rsid w:val="396661E0"/>
    <w:rsid w:val="39A16D33"/>
    <w:rsid w:val="39D46840"/>
    <w:rsid w:val="39D569DC"/>
    <w:rsid w:val="3A683CF4"/>
    <w:rsid w:val="3AE4639A"/>
    <w:rsid w:val="3B697A90"/>
    <w:rsid w:val="3BA743A8"/>
    <w:rsid w:val="3BBA232E"/>
    <w:rsid w:val="3BC74A4B"/>
    <w:rsid w:val="3BDB43F7"/>
    <w:rsid w:val="3BF55114"/>
    <w:rsid w:val="3C1C2BDE"/>
    <w:rsid w:val="3C340332"/>
    <w:rsid w:val="3C667DC0"/>
    <w:rsid w:val="3CA073AF"/>
    <w:rsid w:val="3CDC62D4"/>
    <w:rsid w:val="3CE3375A"/>
    <w:rsid w:val="3CE84C78"/>
    <w:rsid w:val="3DC668D9"/>
    <w:rsid w:val="3E104487"/>
    <w:rsid w:val="3E3F4D6C"/>
    <w:rsid w:val="3E8B5957"/>
    <w:rsid w:val="3EC14D35"/>
    <w:rsid w:val="3EF142B8"/>
    <w:rsid w:val="3F010F53"/>
    <w:rsid w:val="3F32042D"/>
    <w:rsid w:val="3F620D12"/>
    <w:rsid w:val="3FA0183A"/>
    <w:rsid w:val="3FFDCF38"/>
    <w:rsid w:val="40353DED"/>
    <w:rsid w:val="40363F4D"/>
    <w:rsid w:val="40C81049"/>
    <w:rsid w:val="40D02D3C"/>
    <w:rsid w:val="41852724"/>
    <w:rsid w:val="419C619B"/>
    <w:rsid w:val="41D61543"/>
    <w:rsid w:val="41E974C9"/>
    <w:rsid w:val="421B164C"/>
    <w:rsid w:val="42296E75"/>
    <w:rsid w:val="42A96C58"/>
    <w:rsid w:val="42E863BF"/>
    <w:rsid w:val="43016A94"/>
    <w:rsid w:val="43243DE7"/>
    <w:rsid w:val="439711A6"/>
    <w:rsid w:val="43E77A38"/>
    <w:rsid w:val="43F42155"/>
    <w:rsid w:val="43F97ACA"/>
    <w:rsid w:val="44692B43"/>
    <w:rsid w:val="44915BF6"/>
    <w:rsid w:val="449A2CFC"/>
    <w:rsid w:val="4602561E"/>
    <w:rsid w:val="460D74FE"/>
    <w:rsid w:val="4631143E"/>
    <w:rsid w:val="46460D56"/>
    <w:rsid w:val="46CE3131"/>
    <w:rsid w:val="46E13712"/>
    <w:rsid w:val="46EC35B7"/>
    <w:rsid w:val="46F030A7"/>
    <w:rsid w:val="470E1B72"/>
    <w:rsid w:val="4732780D"/>
    <w:rsid w:val="47543636"/>
    <w:rsid w:val="4792414F"/>
    <w:rsid w:val="479A5FB8"/>
    <w:rsid w:val="47B71E17"/>
    <w:rsid w:val="47B807F3"/>
    <w:rsid w:val="47E81BB1"/>
    <w:rsid w:val="47FC6910"/>
    <w:rsid w:val="48313978"/>
    <w:rsid w:val="484F4E5F"/>
    <w:rsid w:val="48B84099"/>
    <w:rsid w:val="48EC3D42"/>
    <w:rsid w:val="490746D8"/>
    <w:rsid w:val="491E44A3"/>
    <w:rsid w:val="49816239"/>
    <w:rsid w:val="4A25750C"/>
    <w:rsid w:val="4A623313"/>
    <w:rsid w:val="4A6718D3"/>
    <w:rsid w:val="4A726690"/>
    <w:rsid w:val="4AA03036"/>
    <w:rsid w:val="4AD351BA"/>
    <w:rsid w:val="4AD52CE0"/>
    <w:rsid w:val="4AE7656F"/>
    <w:rsid w:val="4B1B6C71"/>
    <w:rsid w:val="4B5856BF"/>
    <w:rsid w:val="4BE331DB"/>
    <w:rsid w:val="4BE8259F"/>
    <w:rsid w:val="4BF74ED8"/>
    <w:rsid w:val="4C281EF3"/>
    <w:rsid w:val="4C45296C"/>
    <w:rsid w:val="4CDD4B47"/>
    <w:rsid w:val="4CE12E15"/>
    <w:rsid w:val="4D312DA7"/>
    <w:rsid w:val="4D342300"/>
    <w:rsid w:val="4DE1199C"/>
    <w:rsid w:val="4DEA6AA2"/>
    <w:rsid w:val="4E04568A"/>
    <w:rsid w:val="4E0A1139"/>
    <w:rsid w:val="4E0B4C6B"/>
    <w:rsid w:val="4E3545CC"/>
    <w:rsid w:val="4E817DC8"/>
    <w:rsid w:val="4EF61477"/>
    <w:rsid w:val="4F055FF2"/>
    <w:rsid w:val="4FC53A84"/>
    <w:rsid w:val="4FDC68BF"/>
    <w:rsid w:val="5023629C"/>
    <w:rsid w:val="50812FC2"/>
    <w:rsid w:val="509727E6"/>
    <w:rsid w:val="50CD3132"/>
    <w:rsid w:val="51993F9E"/>
    <w:rsid w:val="52184D14"/>
    <w:rsid w:val="52291B63"/>
    <w:rsid w:val="525D300E"/>
    <w:rsid w:val="529E42FF"/>
    <w:rsid w:val="530E3233"/>
    <w:rsid w:val="532F6D06"/>
    <w:rsid w:val="53681604"/>
    <w:rsid w:val="536979A6"/>
    <w:rsid w:val="545C3212"/>
    <w:rsid w:val="54CF69F2"/>
    <w:rsid w:val="558F0C23"/>
    <w:rsid w:val="561435A7"/>
    <w:rsid w:val="569F3D76"/>
    <w:rsid w:val="5737087F"/>
    <w:rsid w:val="576818B0"/>
    <w:rsid w:val="57776ECD"/>
    <w:rsid w:val="57AC301B"/>
    <w:rsid w:val="57FA6D49"/>
    <w:rsid w:val="5813788D"/>
    <w:rsid w:val="59143D47"/>
    <w:rsid w:val="594159E5"/>
    <w:rsid w:val="59703126"/>
    <w:rsid w:val="59725B9E"/>
    <w:rsid w:val="59927FEE"/>
    <w:rsid w:val="59941FB8"/>
    <w:rsid w:val="59A71EE5"/>
    <w:rsid w:val="59CA7788"/>
    <w:rsid w:val="59CE51A9"/>
    <w:rsid w:val="59CF2FF0"/>
    <w:rsid w:val="59D31E8E"/>
    <w:rsid w:val="59EE50B6"/>
    <w:rsid w:val="5A0F7891"/>
    <w:rsid w:val="5A474332"/>
    <w:rsid w:val="5A557999"/>
    <w:rsid w:val="5AD05F1E"/>
    <w:rsid w:val="5B152E64"/>
    <w:rsid w:val="5B5C08B4"/>
    <w:rsid w:val="5B7340B8"/>
    <w:rsid w:val="5BB46942"/>
    <w:rsid w:val="5C313AEE"/>
    <w:rsid w:val="5C32682B"/>
    <w:rsid w:val="5CC11316"/>
    <w:rsid w:val="5CC74453"/>
    <w:rsid w:val="5CEB0141"/>
    <w:rsid w:val="5D7C6005"/>
    <w:rsid w:val="5D934B3E"/>
    <w:rsid w:val="5DC77D97"/>
    <w:rsid w:val="5DD22168"/>
    <w:rsid w:val="5DE54B90"/>
    <w:rsid w:val="5DEF1EB3"/>
    <w:rsid w:val="5E03770C"/>
    <w:rsid w:val="5E15180A"/>
    <w:rsid w:val="5E6C3504"/>
    <w:rsid w:val="5E954808"/>
    <w:rsid w:val="5E9842F9"/>
    <w:rsid w:val="5F0674B4"/>
    <w:rsid w:val="5F090D52"/>
    <w:rsid w:val="5FB32A6C"/>
    <w:rsid w:val="5FDF0C6C"/>
    <w:rsid w:val="5FF53085"/>
    <w:rsid w:val="60147D4F"/>
    <w:rsid w:val="605129B1"/>
    <w:rsid w:val="60675D31"/>
    <w:rsid w:val="60885CA7"/>
    <w:rsid w:val="60A46F85"/>
    <w:rsid w:val="60B34342"/>
    <w:rsid w:val="60CA4511"/>
    <w:rsid w:val="60E455D3"/>
    <w:rsid w:val="60F90953"/>
    <w:rsid w:val="616B3E01"/>
    <w:rsid w:val="61D90EB0"/>
    <w:rsid w:val="61DE4A37"/>
    <w:rsid w:val="62066B73"/>
    <w:rsid w:val="62207991"/>
    <w:rsid w:val="628C5B80"/>
    <w:rsid w:val="6299063F"/>
    <w:rsid w:val="62A274F4"/>
    <w:rsid w:val="62F24429"/>
    <w:rsid w:val="631A1780"/>
    <w:rsid w:val="638C42D9"/>
    <w:rsid w:val="63A1292B"/>
    <w:rsid w:val="63D97827"/>
    <w:rsid w:val="643B7C00"/>
    <w:rsid w:val="64406FC4"/>
    <w:rsid w:val="6457430E"/>
    <w:rsid w:val="64B45E83"/>
    <w:rsid w:val="64DD4813"/>
    <w:rsid w:val="651152FC"/>
    <w:rsid w:val="651B17E0"/>
    <w:rsid w:val="65324317"/>
    <w:rsid w:val="65593F66"/>
    <w:rsid w:val="65595205"/>
    <w:rsid w:val="657D7DA4"/>
    <w:rsid w:val="65A672FB"/>
    <w:rsid w:val="661029C7"/>
    <w:rsid w:val="662D16AB"/>
    <w:rsid w:val="66621CE4"/>
    <w:rsid w:val="66763171"/>
    <w:rsid w:val="66E04A8F"/>
    <w:rsid w:val="66E0683D"/>
    <w:rsid w:val="66F127F8"/>
    <w:rsid w:val="66F40245"/>
    <w:rsid w:val="672C55DE"/>
    <w:rsid w:val="689313A7"/>
    <w:rsid w:val="69065853"/>
    <w:rsid w:val="69221657"/>
    <w:rsid w:val="69BD10B7"/>
    <w:rsid w:val="6A6715B2"/>
    <w:rsid w:val="6A726147"/>
    <w:rsid w:val="6AE10DD5"/>
    <w:rsid w:val="6AE72CF0"/>
    <w:rsid w:val="6AF91447"/>
    <w:rsid w:val="6B300A25"/>
    <w:rsid w:val="6B8005EE"/>
    <w:rsid w:val="6BB32772"/>
    <w:rsid w:val="6C103720"/>
    <w:rsid w:val="6C163263"/>
    <w:rsid w:val="6C21592D"/>
    <w:rsid w:val="6C264620"/>
    <w:rsid w:val="6C6B4DFB"/>
    <w:rsid w:val="6D1550E3"/>
    <w:rsid w:val="6D254FA9"/>
    <w:rsid w:val="6D7E1522"/>
    <w:rsid w:val="6D95125A"/>
    <w:rsid w:val="6E7A1325"/>
    <w:rsid w:val="6E8D72AA"/>
    <w:rsid w:val="6ED06DC1"/>
    <w:rsid w:val="6F1C23DC"/>
    <w:rsid w:val="6F345978"/>
    <w:rsid w:val="6F474F0B"/>
    <w:rsid w:val="6F565074"/>
    <w:rsid w:val="6FBE7937"/>
    <w:rsid w:val="6FFF26EB"/>
    <w:rsid w:val="701557A9"/>
    <w:rsid w:val="701934AE"/>
    <w:rsid w:val="70495D91"/>
    <w:rsid w:val="705B6F34"/>
    <w:rsid w:val="70716DA6"/>
    <w:rsid w:val="711F4406"/>
    <w:rsid w:val="71245578"/>
    <w:rsid w:val="714B2ECB"/>
    <w:rsid w:val="71BA7C8A"/>
    <w:rsid w:val="71E33685"/>
    <w:rsid w:val="72035AD5"/>
    <w:rsid w:val="72385629"/>
    <w:rsid w:val="72916C3D"/>
    <w:rsid w:val="72AB41A3"/>
    <w:rsid w:val="730218E9"/>
    <w:rsid w:val="731F0A75"/>
    <w:rsid w:val="7333585E"/>
    <w:rsid w:val="73351169"/>
    <w:rsid w:val="73E3171A"/>
    <w:rsid w:val="741831B5"/>
    <w:rsid w:val="743106D8"/>
    <w:rsid w:val="74822CE1"/>
    <w:rsid w:val="74850A24"/>
    <w:rsid w:val="74B35591"/>
    <w:rsid w:val="74D84FF7"/>
    <w:rsid w:val="752F42EC"/>
    <w:rsid w:val="75680129"/>
    <w:rsid w:val="75BA9506"/>
    <w:rsid w:val="75C80649"/>
    <w:rsid w:val="762F7860"/>
    <w:rsid w:val="76427985"/>
    <w:rsid w:val="7660618B"/>
    <w:rsid w:val="767174B1"/>
    <w:rsid w:val="76B33626"/>
    <w:rsid w:val="76B850E0"/>
    <w:rsid w:val="76C05D43"/>
    <w:rsid w:val="76D6577B"/>
    <w:rsid w:val="76FF686B"/>
    <w:rsid w:val="773D3837"/>
    <w:rsid w:val="77A15B74"/>
    <w:rsid w:val="77CB17F7"/>
    <w:rsid w:val="77CD0717"/>
    <w:rsid w:val="77E3C66F"/>
    <w:rsid w:val="78210A63"/>
    <w:rsid w:val="78947487"/>
    <w:rsid w:val="799A6D1F"/>
    <w:rsid w:val="79BF61C2"/>
    <w:rsid w:val="79F006ED"/>
    <w:rsid w:val="79FC7325"/>
    <w:rsid w:val="7A301FD1"/>
    <w:rsid w:val="7A5769BE"/>
    <w:rsid w:val="7A8F7F06"/>
    <w:rsid w:val="7AA7224B"/>
    <w:rsid w:val="7B4F7695"/>
    <w:rsid w:val="7B6B0973"/>
    <w:rsid w:val="7B767570"/>
    <w:rsid w:val="7BCB7664"/>
    <w:rsid w:val="7C0466D2"/>
    <w:rsid w:val="7C2145DF"/>
    <w:rsid w:val="7C613B24"/>
    <w:rsid w:val="7D4F1BCF"/>
    <w:rsid w:val="7D5B67C5"/>
    <w:rsid w:val="7D7B6E68"/>
    <w:rsid w:val="7D937D0D"/>
    <w:rsid w:val="7DD87B8D"/>
    <w:rsid w:val="7E0155BF"/>
    <w:rsid w:val="7E1D1CCD"/>
    <w:rsid w:val="7EAF0B77"/>
    <w:rsid w:val="7EF53BC8"/>
    <w:rsid w:val="7EFC5D86"/>
    <w:rsid w:val="7F105FF7"/>
    <w:rsid w:val="7FB31639"/>
    <w:rsid w:val="7FBD893C"/>
    <w:rsid w:val="7FCB2500"/>
    <w:rsid w:val="7FD76BDF"/>
    <w:rsid w:val="7FED0020"/>
    <w:rsid w:val="9FFA26C8"/>
    <w:rsid w:val="BDEDA239"/>
    <w:rsid w:val="BF79EC9D"/>
    <w:rsid w:val="DFA51E1F"/>
    <w:rsid w:val="DFDB4AEA"/>
    <w:rsid w:val="E5B1E905"/>
    <w:rsid w:val="EC766AE1"/>
    <w:rsid w:val="FDAC7F4C"/>
    <w:rsid w:val="FE75F4BF"/>
    <w:rsid w:val="FEFB2C57"/>
    <w:rsid w:val="FEFF70A5"/>
    <w:rsid w:val="FEFF8905"/>
    <w:rsid w:val="FF5F6342"/>
    <w:rsid w:val="FFB90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sz w:val="44"/>
    </w:r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Char"/>
    <w:basedOn w:val="1"/>
    <w:qFormat/>
    <w:uiPriority w:val="0"/>
    <w:pPr>
      <w:widowControl/>
      <w:jc w:val="left"/>
    </w:pPr>
    <w:rPr>
      <w:rFonts w:ascii="Verdana" w:hAnsi="Verdana" w:eastAsia="仿宋_GB2312"/>
      <w:kern w:val="0"/>
      <w:sz w:val="28"/>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471</Words>
  <Characters>2688</Characters>
  <Lines>22</Lines>
  <Paragraphs>6</Paragraphs>
  <TotalTime>4</TotalTime>
  <ScaleCrop>false</ScaleCrop>
  <LinksUpToDate>false</LinksUpToDate>
  <CharactersWithSpaces>3153</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2017-02-21T17:02:00Z</dcterms:created>
  <dc:creator>预算处(税政处、编审中心)-王威</dc:creator>
  <cp:lastModifiedBy>Administrator</cp:lastModifiedBy>
  <cp:lastPrinted>2022-02-13T12:01:00Z</cp:lastPrinted>
  <dcterms:modified xsi:type="dcterms:W3CDTF">2026-02-04T02:05:04Z</dcterms:modified>
  <dc:title>辽宁省财政厅部门预算</dc:title>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75232A2AE6204C8BB3CD4A3E1A5732A0_12</vt:lpwstr>
  </property>
</Properties>
</file>